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F9CE691" w:rsidR="00335F42" w:rsidRPr="00E4114B" w:rsidRDefault="00B67FE9" w:rsidP="003410A5">
      <w:pPr>
        <w:spacing w:before="240" w:after="60"/>
        <w:jc w:val="center"/>
        <w:rPr>
          <w:rFonts w:eastAsia="Calibri"/>
          <w:sz w:val="24"/>
          <w:szCs w:val="24"/>
        </w:rPr>
      </w:pPr>
      <w:r w:rsidRPr="003410A5">
        <w:rPr>
          <w:rFonts w:eastAsia="Calibri"/>
          <w:b/>
          <w:sz w:val="32"/>
          <w:szCs w:val="32"/>
        </w:rPr>
        <w:t>Global Storm Surge Reconstructions (GSSR): Changepoint Detection and Trend Analysis</w:t>
      </w:r>
      <w:r w:rsidR="00E4114B">
        <w:rPr>
          <w:rFonts w:eastAsia="Calibri"/>
          <w:b/>
          <w:sz w:val="32"/>
          <w:szCs w:val="32"/>
        </w:rPr>
        <w:br/>
      </w:r>
    </w:p>
    <w:p w14:paraId="67BAB8BC" w14:textId="77777777" w:rsidR="00E4114B" w:rsidRDefault="00E4114B" w:rsidP="00E4114B">
      <w:pPr>
        <w:jc w:val="center"/>
        <w:rPr>
          <w:b/>
          <w:bCs/>
          <w:sz w:val="24"/>
          <w:szCs w:val="24"/>
        </w:rPr>
      </w:pPr>
      <w:r w:rsidRPr="00E4114B">
        <w:rPr>
          <w:b/>
          <w:bCs/>
          <w:sz w:val="24"/>
          <w:szCs w:val="24"/>
        </w:rPr>
        <w:t>Michael Getachew Tadesse</w:t>
      </w:r>
      <w:r w:rsidRPr="00E4114B">
        <w:rPr>
          <w:b/>
          <w:bCs/>
          <w:sz w:val="24"/>
          <w:szCs w:val="24"/>
          <w:vertAlign w:val="superscript"/>
        </w:rPr>
        <w:t>1</w:t>
      </w:r>
      <w:r w:rsidRPr="00E4114B">
        <w:rPr>
          <w:b/>
          <w:bCs/>
          <w:sz w:val="24"/>
          <w:szCs w:val="24"/>
        </w:rPr>
        <w:t>, Thomas Wahl</w:t>
      </w:r>
      <w:r w:rsidRPr="00E4114B">
        <w:rPr>
          <w:b/>
          <w:bCs/>
          <w:sz w:val="24"/>
          <w:szCs w:val="24"/>
          <w:vertAlign w:val="superscript"/>
        </w:rPr>
        <w:t>1</w:t>
      </w:r>
      <w:r w:rsidRPr="00E4114B">
        <w:rPr>
          <w:b/>
          <w:bCs/>
          <w:sz w:val="24"/>
          <w:szCs w:val="24"/>
        </w:rPr>
        <w:t>, M. M. Rashid</w:t>
      </w:r>
      <w:r w:rsidRPr="00E4114B">
        <w:rPr>
          <w:b/>
          <w:bCs/>
          <w:sz w:val="24"/>
          <w:szCs w:val="24"/>
          <w:vertAlign w:val="superscript"/>
        </w:rPr>
        <w:t>1</w:t>
      </w:r>
      <w:r w:rsidRPr="00E4114B">
        <w:rPr>
          <w:b/>
          <w:bCs/>
          <w:sz w:val="24"/>
          <w:szCs w:val="24"/>
        </w:rPr>
        <w:t>, Sönke Dangendorf</w:t>
      </w:r>
      <w:r w:rsidRPr="00E4114B">
        <w:rPr>
          <w:b/>
          <w:bCs/>
          <w:sz w:val="24"/>
          <w:szCs w:val="24"/>
          <w:vertAlign w:val="superscript"/>
        </w:rPr>
        <w:t>2,3</w:t>
      </w:r>
      <w:r w:rsidRPr="00E4114B">
        <w:rPr>
          <w:b/>
          <w:bCs/>
          <w:sz w:val="24"/>
          <w:szCs w:val="24"/>
        </w:rPr>
        <w:t>, Alejandra Rodríguez-Enríquez</w:t>
      </w:r>
      <w:r w:rsidRPr="00E4114B">
        <w:rPr>
          <w:b/>
          <w:bCs/>
          <w:sz w:val="24"/>
          <w:szCs w:val="24"/>
          <w:vertAlign w:val="superscript"/>
        </w:rPr>
        <w:t>1</w:t>
      </w:r>
      <w:r w:rsidRPr="00E4114B">
        <w:rPr>
          <w:b/>
          <w:bCs/>
          <w:sz w:val="24"/>
          <w:szCs w:val="24"/>
        </w:rPr>
        <w:t>, Stefan Talke</w:t>
      </w:r>
      <w:r w:rsidRPr="00E4114B">
        <w:rPr>
          <w:b/>
          <w:bCs/>
          <w:sz w:val="24"/>
          <w:szCs w:val="24"/>
          <w:vertAlign w:val="superscript"/>
        </w:rPr>
        <w:t>4</w:t>
      </w:r>
    </w:p>
    <w:p w14:paraId="14B760A5" w14:textId="17FB244F" w:rsidR="00E4114B" w:rsidRPr="00E4114B" w:rsidRDefault="00E4114B" w:rsidP="00E4114B">
      <w:r>
        <w:br/>
      </w:r>
      <w:r w:rsidRPr="00E4114B">
        <w:rPr>
          <w:vertAlign w:val="superscript"/>
        </w:rPr>
        <w:t>1</w:t>
      </w:r>
      <w:r w:rsidRPr="00E4114B">
        <w:t>Civil, Environmental, and Construction Engineering &amp; National Center for Integrated Coastal Research, University of Central Florida, Orlando, USA</w:t>
      </w:r>
      <w:r w:rsidRPr="00E4114B">
        <w:br/>
      </w:r>
      <w:r w:rsidRPr="00E4114B">
        <w:rPr>
          <w:vertAlign w:val="superscript"/>
        </w:rPr>
        <w:t>2</w:t>
      </w:r>
      <w:r w:rsidRPr="00E4114B">
        <w:t>Ocean, Earth and Atmospheric Science, Old Dominion University, Norfolk, Virginia</w:t>
      </w:r>
    </w:p>
    <w:p w14:paraId="36E0AF06" w14:textId="119EF25B" w:rsidR="006C4291" w:rsidRDefault="00E4114B" w:rsidP="00E4114B">
      <w:pPr>
        <w:spacing w:line="240" w:lineRule="auto"/>
      </w:pPr>
      <w:r w:rsidRPr="00E4114B">
        <w:rPr>
          <w:vertAlign w:val="superscript"/>
        </w:rPr>
        <w:t>3</w:t>
      </w:r>
      <w:r w:rsidRPr="00E4114B">
        <w:t>Department for River-Coastal Science and Engineering, Tulane University, New Orleans, LA</w:t>
      </w:r>
      <w:r w:rsidRPr="00E4114B">
        <w:rPr>
          <w:vertAlign w:val="superscript"/>
        </w:rPr>
        <w:br/>
        <w:t>4</w:t>
      </w:r>
      <w:r w:rsidRPr="00E4114B">
        <w:t>Civil and Environmental Engineering, California Polytechnic University, San Luis Obispo, California</w:t>
      </w:r>
    </w:p>
    <w:p w14:paraId="6AF6B517" w14:textId="77777777" w:rsidR="00E4114B" w:rsidRPr="00E4114B" w:rsidRDefault="00E4114B" w:rsidP="00E4114B">
      <w:pPr>
        <w:spacing w:line="240" w:lineRule="auto"/>
        <w:rPr>
          <w:rFonts w:eastAsia="Calibri"/>
        </w:rPr>
      </w:pPr>
    </w:p>
    <w:p w14:paraId="2B86A030" w14:textId="64A738DE" w:rsidR="006C4291" w:rsidRDefault="006C4291" w:rsidP="006C4291">
      <w:pPr>
        <w:spacing w:line="240" w:lineRule="auto"/>
        <w:rPr>
          <w:rFonts w:eastAsiaTheme="minorEastAsia"/>
          <w:b/>
          <w:bCs/>
          <w:sz w:val="24"/>
          <w:szCs w:val="24"/>
          <w:lang w:val="en-US"/>
        </w:rPr>
      </w:pPr>
      <w:r w:rsidRPr="006C4291">
        <w:rPr>
          <w:rFonts w:eastAsiaTheme="minorEastAsia"/>
          <w:b/>
          <w:bCs/>
          <w:sz w:val="24"/>
          <w:szCs w:val="24"/>
          <w:lang w:val="en-US"/>
        </w:rPr>
        <w:t>Abstract</w:t>
      </w:r>
    </w:p>
    <w:p w14:paraId="7E3D859F" w14:textId="77777777" w:rsidR="006C4291" w:rsidRPr="00FF3985" w:rsidRDefault="006C4291" w:rsidP="006C4291">
      <w:pPr>
        <w:spacing w:line="240" w:lineRule="auto"/>
        <w:rPr>
          <w:rFonts w:eastAsiaTheme="minorEastAsia"/>
          <w:sz w:val="2"/>
          <w:szCs w:val="2"/>
          <w:lang w:val="en-US"/>
        </w:rPr>
      </w:pPr>
    </w:p>
    <w:p w14:paraId="75001298" w14:textId="0A92C0C1" w:rsidR="009A3819" w:rsidRPr="006C4291" w:rsidRDefault="009A3819" w:rsidP="009A3819">
      <w:pPr>
        <w:spacing w:before="240" w:after="240"/>
        <w:jc w:val="both"/>
        <w:rPr>
          <w:rFonts w:eastAsia="Calibri"/>
        </w:rPr>
      </w:pPr>
      <w:r w:rsidRPr="006C4291">
        <w:rPr>
          <w:rFonts w:eastAsia="Calibri"/>
        </w:rPr>
        <w:t xml:space="preserve">Understanding how extreme storm surges change over time is crucial for designing and implementing robust adaptation strategies against coastal flooding. Therefore, we </w:t>
      </w:r>
      <w:r w:rsidR="00265122" w:rsidRPr="006C4291">
        <w:rPr>
          <w:rFonts w:eastAsia="Calibri"/>
        </w:rPr>
        <w:t>investigate trends</w:t>
      </w:r>
      <w:r w:rsidRPr="006C4291">
        <w:rPr>
          <w:rFonts w:eastAsia="Calibri"/>
        </w:rPr>
        <w:t xml:space="preserve"> in the magnitude and frequency of extreme storm surge events globally at 300 tide gauge locations.</w:t>
      </w:r>
    </w:p>
    <w:p w14:paraId="1ED65731" w14:textId="080FDA27" w:rsidR="009A3819" w:rsidRPr="006C4291" w:rsidRDefault="009A3819" w:rsidP="009A3819">
      <w:pPr>
        <w:spacing w:before="240" w:after="240"/>
        <w:jc w:val="both"/>
        <w:rPr>
          <w:rFonts w:eastAsia="Calibri"/>
        </w:rPr>
      </w:pPr>
      <w:r w:rsidRPr="006C4291">
        <w:rPr>
          <w:rFonts w:eastAsia="Calibri"/>
        </w:rPr>
        <w:t>We use two centennial</w:t>
      </w:r>
      <w:r w:rsidR="00051543">
        <w:rPr>
          <w:rFonts w:eastAsia="Calibri"/>
        </w:rPr>
        <w:t xml:space="preserve"> and three satellite-era</w:t>
      </w:r>
      <w:r w:rsidRPr="006C4291">
        <w:rPr>
          <w:rFonts w:eastAsia="Calibri"/>
        </w:rPr>
        <w:t xml:space="preserve"> daily storm surge reconstruction datasets from the Global Storm Surge Reconstruction</w:t>
      </w:r>
      <w:r w:rsidR="00610277">
        <w:rPr>
          <w:rFonts w:eastAsia="Calibri"/>
        </w:rPr>
        <w:t>s</w:t>
      </w:r>
      <w:r w:rsidRPr="006C4291">
        <w:rPr>
          <w:rFonts w:eastAsia="Calibri"/>
        </w:rPr>
        <w:t xml:space="preserve"> (GSSR) database (</w:t>
      </w:r>
      <w:hyperlink r:id="rId6" w:history="1">
        <w:r w:rsidR="00265122" w:rsidRPr="000E77D6">
          <w:rPr>
            <w:rStyle w:val="Hyperlink"/>
            <w:rFonts w:eastAsia="Calibri"/>
          </w:rPr>
          <w:t>http://gssr.info</w:t>
        </w:r>
      </w:hyperlink>
      <w:r w:rsidR="00265122">
        <w:rPr>
          <w:rFonts w:eastAsia="Calibri"/>
        </w:rPr>
        <w:t>)</w:t>
      </w:r>
      <w:r w:rsidRPr="006C4291">
        <w:rPr>
          <w:rFonts w:eastAsia="Calibri"/>
        </w:rPr>
        <w:t xml:space="preserve">. Some spurious trends were observed in the annual variability of the </w:t>
      </w:r>
      <w:r w:rsidR="0063322C">
        <w:rPr>
          <w:rFonts w:eastAsia="Calibri"/>
        </w:rPr>
        <w:t xml:space="preserve">centennial </w:t>
      </w:r>
      <w:r w:rsidRPr="006C4291">
        <w:rPr>
          <w:rFonts w:eastAsia="Calibri"/>
        </w:rPr>
        <w:t>surge reconstructions in some regions. A Bayesian changepoint analysis is carried out to remove data from time periods and locations where such spurious trends were detected. Following the changepoint analysis, trends in higher percentile surges and their frequencies are computed for the 1875-2015, 1900-2015,</w:t>
      </w:r>
      <w:r w:rsidR="00716D21">
        <w:rPr>
          <w:rFonts w:eastAsia="Calibri"/>
        </w:rPr>
        <w:t xml:space="preserve"> </w:t>
      </w:r>
      <w:r w:rsidRPr="006C4291">
        <w:rPr>
          <w:rFonts w:eastAsia="Calibri"/>
        </w:rPr>
        <w:t>1950-2015</w:t>
      </w:r>
      <w:r w:rsidR="00716D21">
        <w:rPr>
          <w:rFonts w:eastAsia="Calibri"/>
        </w:rPr>
        <w:t>, and 1980-2010</w:t>
      </w:r>
      <w:r w:rsidRPr="006C4291">
        <w:rPr>
          <w:rFonts w:eastAsia="Calibri"/>
        </w:rPr>
        <w:t xml:space="preserve"> time periods.</w:t>
      </w:r>
      <w:r w:rsidR="004E47F3">
        <w:rPr>
          <w:rFonts w:eastAsia="Calibri"/>
        </w:rPr>
        <w:t xml:space="preserve"> Trends from the five reconstructions are compared with trends from observed surges for the overlapping 1980-2010 period</w:t>
      </w:r>
      <w:r w:rsidR="00EE51B2">
        <w:rPr>
          <w:rFonts w:eastAsia="Calibri"/>
        </w:rPr>
        <w:t xml:space="preserve">. </w:t>
      </w:r>
    </w:p>
    <w:p w14:paraId="00000012" w14:textId="5BD16651" w:rsidR="00335F42" w:rsidRPr="00F9332A" w:rsidRDefault="009A3819" w:rsidP="00F9332A">
      <w:pPr>
        <w:spacing w:before="240" w:after="240"/>
        <w:jc w:val="both"/>
        <w:rPr>
          <w:rFonts w:eastAsia="Calibri"/>
        </w:rPr>
      </w:pPr>
      <w:r w:rsidRPr="006C4291">
        <w:rPr>
          <w:rFonts w:eastAsia="Calibri"/>
        </w:rPr>
        <w:t xml:space="preserve">Our analysis shows that even after applying changepoint detection and removing unreliable data, the GSSR database extends existing storm surge records by several decades for the vast majority of tide gauges in our study. Moreover, storm surge reconstructions from 20-CR and ERA-20C reanalyses show significant positive </w:t>
      </w:r>
      <w:r w:rsidR="00311A3A">
        <w:rPr>
          <w:rFonts w:eastAsia="Calibri"/>
        </w:rPr>
        <w:t xml:space="preserve">long-term </w:t>
      </w:r>
      <w:r w:rsidR="00F9332A" w:rsidRPr="006C4291">
        <w:rPr>
          <w:rFonts w:eastAsia="Calibri"/>
        </w:rPr>
        <w:t>trends in</w:t>
      </w:r>
      <w:r w:rsidRPr="006C4291">
        <w:rPr>
          <w:rFonts w:eastAsia="Calibri"/>
        </w:rPr>
        <w:t xml:space="preserve"> several locations. We find maximum positive trends in the orders of 2 mm/year and 4 mm/year for 20-CR and ERA-20C reconstructions respectively for the southern North Sea region, for all three time periods. The frequency of annual storm events in any given year above the 95</w:t>
      </w:r>
      <w:r w:rsidRPr="006C4291">
        <w:rPr>
          <w:rFonts w:eastAsia="Calibri"/>
          <w:vertAlign w:val="superscript"/>
        </w:rPr>
        <w:t>th</w:t>
      </w:r>
      <w:r w:rsidRPr="006C4291">
        <w:rPr>
          <w:rFonts w:eastAsia="Calibri"/>
        </w:rPr>
        <w:t xml:space="preserve"> and 99</w:t>
      </w:r>
      <w:r w:rsidRPr="006C4291">
        <w:rPr>
          <w:rFonts w:eastAsia="Calibri"/>
          <w:vertAlign w:val="superscript"/>
        </w:rPr>
        <w:t xml:space="preserve">th </w:t>
      </w:r>
      <w:r w:rsidRPr="006C4291">
        <w:rPr>
          <w:rFonts w:eastAsia="Calibri"/>
        </w:rPr>
        <w:t xml:space="preserve">percentile thresholds have also increased for several locations. Increasing trends in northwestern Europe since 1950 are correlated with the positive trends of the North Atlantic </w:t>
      </w:r>
      <w:r w:rsidR="00F9332A" w:rsidRPr="006C4291">
        <w:rPr>
          <w:rFonts w:eastAsia="Calibri"/>
        </w:rPr>
        <w:t>Oscillation (</w:t>
      </w:r>
      <w:r w:rsidRPr="006C4291">
        <w:rPr>
          <w:rFonts w:eastAsia="Calibri"/>
        </w:rPr>
        <w:t xml:space="preserve">NAO).  However, the long-term positive trends from the surge reconstructions are in contrast to insignificant trends in observed surges in the same region. This might arise from remaining inhomogeneities in the atmospheric reanalyses which were not captured through the automated changepoint detection and as such have to be interpreted carefully. </w:t>
      </w:r>
    </w:p>
    <w:sectPr w:rsidR="00335F42" w:rsidRPr="00F9332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2D9E" w14:textId="77777777" w:rsidR="004164BF" w:rsidRDefault="004164BF" w:rsidP="003410A5">
      <w:pPr>
        <w:spacing w:line="240" w:lineRule="auto"/>
      </w:pPr>
      <w:r>
        <w:separator/>
      </w:r>
    </w:p>
  </w:endnote>
  <w:endnote w:type="continuationSeparator" w:id="0">
    <w:p w14:paraId="76E9A5AA" w14:textId="77777777" w:rsidR="004164BF" w:rsidRDefault="004164BF" w:rsidP="003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50824" w14:textId="77777777" w:rsidR="004164BF" w:rsidRDefault="004164BF" w:rsidP="003410A5">
      <w:pPr>
        <w:spacing w:line="240" w:lineRule="auto"/>
      </w:pPr>
      <w:r>
        <w:separator/>
      </w:r>
    </w:p>
  </w:footnote>
  <w:footnote w:type="continuationSeparator" w:id="0">
    <w:p w14:paraId="5BEDDB20" w14:textId="77777777" w:rsidR="004164BF" w:rsidRDefault="004164BF" w:rsidP="003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A7AC" w14:textId="77777777" w:rsidR="003410A5" w:rsidRPr="003410A5" w:rsidRDefault="003410A5" w:rsidP="003410A5">
    <w:pPr>
      <w:pStyle w:val="Header"/>
      <w:jc w:val="center"/>
      <w:rPr>
        <w:rFonts w:asciiTheme="minorHAnsi" w:hAnsiTheme="minorHAnsi"/>
        <w:i/>
        <w:iCs/>
        <w:lang w:val="en-US"/>
      </w:rPr>
    </w:pPr>
    <w:r w:rsidRPr="003410A5">
      <w:rPr>
        <w:rFonts w:asciiTheme="minorHAnsi" w:hAnsiTheme="minorHAnsi"/>
        <w:i/>
        <w:iCs/>
        <w:lang w:val="en-US"/>
      </w:rPr>
      <w:t xml:space="preserve">     5th International Conference on Advances in Extreme Value Analysis and        </w:t>
    </w:r>
  </w:p>
  <w:p w14:paraId="1A17C622" w14:textId="72FFCC6F" w:rsidR="003410A5" w:rsidRPr="003410A5" w:rsidRDefault="003410A5" w:rsidP="003410A5">
    <w:pPr>
      <w:pStyle w:val="Header"/>
      <w:jc w:val="center"/>
      <w:rPr>
        <w:rFonts w:asciiTheme="minorHAnsi" w:hAnsiTheme="minorHAnsi"/>
        <w:i/>
        <w:iCs/>
        <w:lang w:val="en-US"/>
      </w:rPr>
    </w:pPr>
    <w:r w:rsidRPr="003410A5">
      <w:rPr>
        <w:rFonts w:asciiTheme="minorHAnsi" w:hAnsiTheme="minorHAnsi"/>
        <w:i/>
        <w:iCs/>
        <w:lang w:val="en-US"/>
      </w:rPr>
      <w:t xml:space="preserve"> Application to Natural Hazard (EVAN), 17 to 19 May 2022, Orlando, FL, USA</w:t>
    </w:r>
  </w:p>
  <w:p w14:paraId="04D75969" w14:textId="77777777" w:rsidR="003410A5" w:rsidRPr="003410A5" w:rsidRDefault="003410A5">
    <w:pPr>
      <w:pStyle w:val="Header"/>
      <w:rPr>
        <w:rFonts w:asciiTheme="minorHAnsi" w:hAnsiTheme="minorHAnsi"/>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42"/>
    <w:rsid w:val="00033998"/>
    <w:rsid w:val="00051543"/>
    <w:rsid w:val="001859A0"/>
    <w:rsid w:val="00265122"/>
    <w:rsid w:val="00311A3A"/>
    <w:rsid w:val="00335F42"/>
    <w:rsid w:val="003410A5"/>
    <w:rsid w:val="00343E2B"/>
    <w:rsid w:val="004164BF"/>
    <w:rsid w:val="0042743F"/>
    <w:rsid w:val="004E47F3"/>
    <w:rsid w:val="005556DA"/>
    <w:rsid w:val="00610277"/>
    <w:rsid w:val="0063322C"/>
    <w:rsid w:val="00684CA3"/>
    <w:rsid w:val="006C4291"/>
    <w:rsid w:val="00703C3C"/>
    <w:rsid w:val="00716D21"/>
    <w:rsid w:val="007447A3"/>
    <w:rsid w:val="007A3720"/>
    <w:rsid w:val="008A2DDF"/>
    <w:rsid w:val="00944312"/>
    <w:rsid w:val="009A3819"/>
    <w:rsid w:val="00B67FE9"/>
    <w:rsid w:val="00E4114B"/>
    <w:rsid w:val="00EC396C"/>
    <w:rsid w:val="00EE51B2"/>
    <w:rsid w:val="00F9332A"/>
    <w:rsid w:val="00FF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9F00"/>
  <w15:docId w15:val="{1EA0C247-067D-4BBE-9A6F-ABFE8108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10A5"/>
    <w:pPr>
      <w:tabs>
        <w:tab w:val="center" w:pos="4680"/>
        <w:tab w:val="right" w:pos="9360"/>
      </w:tabs>
      <w:spacing w:line="240" w:lineRule="auto"/>
    </w:pPr>
  </w:style>
  <w:style w:type="character" w:customStyle="1" w:styleId="HeaderChar">
    <w:name w:val="Header Char"/>
    <w:basedOn w:val="DefaultParagraphFont"/>
    <w:link w:val="Header"/>
    <w:uiPriority w:val="99"/>
    <w:rsid w:val="003410A5"/>
  </w:style>
  <w:style w:type="paragraph" w:styleId="Footer">
    <w:name w:val="footer"/>
    <w:basedOn w:val="Normal"/>
    <w:link w:val="FooterChar"/>
    <w:uiPriority w:val="99"/>
    <w:unhideWhenUsed/>
    <w:rsid w:val="003410A5"/>
    <w:pPr>
      <w:tabs>
        <w:tab w:val="center" w:pos="4680"/>
        <w:tab w:val="right" w:pos="9360"/>
      </w:tabs>
      <w:spacing w:line="240" w:lineRule="auto"/>
    </w:pPr>
  </w:style>
  <w:style w:type="character" w:customStyle="1" w:styleId="FooterChar">
    <w:name w:val="Footer Char"/>
    <w:basedOn w:val="DefaultParagraphFont"/>
    <w:link w:val="Footer"/>
    <w:uiPriority w:val="99"/>
    <w:rsid w:val="003410A5"/>
  </w:style>
  <w:style w:type="character" w:styleId="Hyperlink">
    <w:name w:val="Hyperlink"/>
    <w:basedOn w:val="DefaultParagraphFont"/>
    <w:uiPriority w:val="99"/>
    <w:unhideWhenUsed/>
    <w:rsid w:val="006C4291"/>
    <w:rPr>
      <w:color w:val="0000FF" w:themeColor="hyperlink"/>
      <w:u w:val="single"/>
    </w:rPr>
  </w:style>
  <w:style w:type="character" w:styleId="UnresolvedMention">
    <w:name w:val="Unresolved Mention"/>
    <w:basedOn w:val="DefaultParagraphFont"/>
    <w:uiPriority w:val="99"/>
    <w:semiHidden/>
    <w:unhideWhenUsed/>
    <w:rsid w:val="006C4291"/>
    <w:rPr>
      <w:color w:val="605E5C"/>
      <w:shd w:val="clear" w:color="auto" w:fill="E1DFDD"/>
    </w:rPr>
  </w:style>
  <w:style w:type="paragraph" w:styleId="BalloonText">
    <w:name w:val="Balloon Text"/>
    <w:basedOn w:val="Normal"/>
    <w:link w:val="BalloonTextChar"/>
    <w:uiPriority w:val="99"/>
    <w:semiHidden/>
    <w:unhideWhenUsed/>
    <w:rsid w:val="00E411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sr.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Getachew Tadesse</cp:lastModifiedBy>
  <cp:revision>29</cp:revision>
  <dcterms:created xsi:type="dcterms:W3CDTF">2021-09-21T12:23:00Z</dcterms:created>
  <dcterms:modified xsi:type="dcterms:W3CDTF">2022-01-10T13:32:00Z</dcterms:modified>
</cp:coreProperties>
</file>