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A4C4" w14:textId="77777777" w:rsidR="00897E90" w:rsidRDefault="00897E90" w:rsidP="00636FC6">
      <w:pPr>
        <w:rPr>
          <w:rFonts w:ascii="Arial" w:hAnsi="Arial" w:cs="Arial"/>
          <w:b/>
          <w:lang w:val="en-US"/>
        </w:rPr>
      </w:pPr>
    </w:p>
    <w:p w14:paraId="6BC2557E" w14:textId="77777777" w:rsidR="00704CAB" w:rsidRPr="00704CAB" w:rsidRDefault="00704CAB" w:rsidP="00704CAB">
      <w:pPr>
        <w:spacing w:after="160" w:line="259" w:lineRule="auto"/>
        <w:jc w:val="center"/>
        <w:rPr>
          <w:rFonts w:ascii="Arial" w:eastAsia="Calibri" w:hAnsi="Arial" w:cs="Arial"/>
          <w:b/>
          <w:bCs/>
          <w:color w:val="000000"/>
          <w:sz w:val="32"/>
          <w:szCs w:val="32"/>
          <w:shd w:val="clear" w:color="auto" w:fill="FFFFFF"/>
        </w:rPr>
      </w:pPr>
      <w:proofErr w:type="spellStart"/>
      <w:r w:rsidRPr="00704CAB">
        <w:rPr>
          <w:rFonts w:ascii="Arial" w:eastAsia="Calibri" w:hAnsi="Arial" w:cs="Arial"/>
          <w:b/>
          <w:bCs/>
          <w:color w:val="000000"/>
          <w:sz w:val="32"/>
          <w:szCs w:val="32"/>
          <w:shd w:val="clear" w:color="auto" w:fill="FFFFFF"/>
        </w:rPr>
        <w:t>Spatio</w:t>
      </w:r>
      <w:proofErr w:type="spellEnd"/>
      <w:r w:rsidRPr="00704CAB">
        <w:rPr>
          <w:rFonts w:ascii="Arial" w:eastAsia="Calibri" w:hAnsi="Arial" w:cs="Arial"/>
          <w:b/>
          <w:bCs/>
          <w:color w:val="000000"/>
          <w:sz w:val="32"/>
          <w:szCs w:val="32"/>
          <w:shd w:val="clear" w:color="auto" w:fill="FFFFFF"/>
        </w:rPr>
        <w:t xml:space="preserve">-temporal threshold selection for induced seismicity </w:t>
      </w:r>
    </w:p>
    <w:p w14:paraId="1956BDCF" w14:textId="02AED9B9" w:rsidR="00704CAB" w:rsidRPr="00704CAB" w:rsidRDefault="00704CAB" w:rsidP="00704CAB">
      <w:pPr>
        <w:spacing w:after="160" w:line="259" w:lineRule="auto"/>
        <w:jc w:val="center"/>
        <w:rPr>
          <w:rFonts w:ascii="Arial" w:eastAsia="Calibri" w:hAnsi="Arial" w:cs="Arial"/>
          <w:b/>
          <w:sz w:val="22"/>
          <w:szCs w:val="22"/>
          <w:lang w:val="en-US"/>
        </w:rPr>
      </w:pPr>
      <w:r w:rsidRPr="00704CAB">
        <w:rPr>
          <w:rFonts w:ascii="Arial" w:eastAsia="Calibri" w:hAnsi="Arial" w:cs="Arial"/>
          <w:b/>
          <w:sz w:val="22"/>
          <w:szCs w:val="22"/>
          <w:lang w:val="en-US"/>
        </w:rPr>
        <w:t>Conor Murphy</w:t>
      </w:r>
      <w:r w:rsidRPr="00704CAB">
        <w:rPr>
          <w:rFonts w:ascii="Arial" w:eastAsia="Calibri" w:hAnsi="Arial" w:cs="Arial"/>
          <w:b/>
          <w:sz w:val="22"/>
          <w:szCs w:val="22"/>
          <w:vertAlign w:val="superscript"/>
          <w:lang w:val="en-US"/>
        </w:rPr>
        <w:t>1</w:t>
      </w:r>
      <w:r w:rsidRPr="00704CAB">
        <w:rPr>
          <w:rFonts w:ascii="Arial" w:eastAsia="Calibri" w:hAnsi="Arial" w:cs="Arial"/>
          <w:b/>
          <w:sz w:val="22"/>
          <w:szCs w:val="22"/>
          <w:lang w:val="en-US"/>
        </w:rPr>
        <w:t>, Jonathan Tawn</w:t>
      </w:r>
      <w:r w:rsidRPr="00704CAB">
        <w:rPr>
          <w:rFonts w:ascii="Arial" w:eastAsia="Calibri" w:hAnsi="Arial" w:cs="Arial"/>
          <w:b/>
          <w:sz w:val="22"/>
          <w:szCs w:val="22"/>
          <w:vertAlign w:val="superscript"/>
          <w:lang w:val="en-US"/>
        </w:rPr>
        <w:t>1</w:t>
      </w:r>
      <w:r w:rsidRPr="00704CAB">
        <w:rPr>
          <w:rFonts w:ascii="Arial" w:eastAsia="Calibri" w:hAnsi="Arial" w:cs="Arial"/>
          <w:b/>
          <w:sz w:val="22"/>
          <w:szCs w:val="22"/>
          <w:lang w:val="en-US"/>
        </w:rPr>
        <w:t>, Peter Atkinson</w:t>
      </w:r>
      <w:r w:rsidRPr="00704CAB">
        <w:rPr>
          <w:rFonts w:ascii="Arial" w:eastAsia="Calibri" w:hAnsi="Arial" w:cs="Arial"/>
          <w:b/>
          <w:sz w:val="22"/>
          <w:szCs w:val="22"/>
          <w:vertAlign w:val="superscript"/>
          <w:lang w:val="en-US"/>
        </w:rPr>
        <w:t>1</w:t>
      </w:r>
      <w:r w:rsidRPr="00704CAB">
        <w:rPr>
          <w:rFonts w:ascii="Arial" w:eastAsia="Calibri" w:hAnsi="Arial" w:cs="Arial"/>
          <w:b/>
          <w:sz w:val="22"/>
          <w:szCs w:val="22"/>
          <w:lang w:val="en-US"/>
        </w:rPr>
        <w:t xml:space="preserve">, </w:t>
      </w:r>
      <w:r w:rsidR="00782893">
        <w:rPr>
          <w:rFonts w:ascii="Arial" w:eastAsia="Calibri" w:hAnsi="Arial" w:cs="Arial"/>
          <w:b/>
          <w:sz w:val="22"/>
          <w:szCs w:val="22"/>
          <w:lang w:val="en-US"/>
        </w:rPr>
        <w:t>Stijn Bierman</w:t>
      </w:r>
      <w:r w:rsidR="00782893">
        <w:rPr>
          <w:rFonts w:ascii="Arial" w:eastAsia="Calibri" w:hAnsi="Arial" w:cs="Arial"/>
          <w:b/>
          <w:sz w:val="22"/>
          <w:szCs w:val="22"/>
          <w:vertAlign w:val="superscript"/>
          <w:lang w:val="en-US"/>
        </w:rPr>
        <w:t>2</w:t>
      </w:r>
      <w:r w:rsidRPr="00704CAB">
        <w:rPr>
          <w:rFonts w:ascii="Arial" w:eastAsia="Calibri" w:hAnsi="Arial" w:cs="Arial"/>
          <w:b/>
          <w:sz w:val="22"/>
          <w:szCs w:val="22"/>
          <w:lang w:val="en-US"/>
        </w:rPr>
        <w:t>, Ross Towe</w:t>
      </w:r>
      <w:r w:rsidR="00782893">
        <w:rPr>
          <w:rFonts w:ascii="Arial" w:eastAsia="Calibri" w:hAnsi="Arial" w:cs="Arial"/>
          <w:b/>
          <w:sz w:val="22"/>
          <w:szCs w:val="22"/>
          <w:vertAlign w:val="superscript"/>
          <w:lang w:val="en-US"/>
        </w:rPr>
        <w:t>2</w:t>
      </w:r>
      <w:r w:rsidR="00782893">
        <w:rPr>
          <w:rFonts w:ascii="Arial" w:eastAsia="Calibri" w:hAnsi="Arial" w:cs="Arial"/>
          <w:b/>
          <w:sz w:val="22"/>
          <w:szCs w:val="22"/>
          <w:vertAlign w:val="superscript"/>
          <w:lang w:val="en-US"/>
        </w:rPr>
        <w:softHyphen/>
      </w:r>
      <w:r w:rsidR="00782893">
        <w:rPr>
          <w:rFonts w:ascii="Arial" w:eastAsia="Calibri" w:hAnsi="Arial" w:cs="Arial"/>
          <w:b/>
          <w:sz w:val="22"/>
          <w:szCs w:val="22"/>
          <w:lang w:val="en-US"/>
        </w:rPr>
        <w:t>,</w:t>
      </w:r>
      <w:r w:rsidR="00782893" w:rsidRPr="00782893">
        <w:rPr>
          <w:rFonts w:ascii="Arial" w:eastAsia="Calibri" w:hAnsi="Arial" w:cs="Arial"/>
          <w:b/>
          <w:sz w:val="22"/>
          <w:szCs w:val="22"/>
          <w:lang w:val="en-US"/>
        </w:rPr>
        <w:t xml:space="preserve"> </w:t>
      </w:r>
      <w:r w:rsidR="00782893" w:rsidRPr="00704CAB">
        <w:rPr>
          <w:rFonts w:ascii="Arial" w:eastAsia="Calibri" w:hAnsi="Arial" w:cs="Arial"/>
          <w:b/>
          <w:sz w:val="22"/>
          <w:szCs w:val="22"/>
          <w:lang w:val="en-US"/>
        </w:rPr>
        <w:t>Zak Varty</w:t>
      </w:r>
      <w:r w:rsidR="00782893">
        <w:rPr>
          <w:rFonts w:ascii="Arial" w:eastAsia="Calibri" w:hAnsi="Arial" w:cs="Arial"/>
          <w:b/>
          <w:sz w:val="22"/>
          <w:szCs w:val="22"/>
          <w:vertAlign w:val="superscript"/>
          <w:lang w:val="en-US"/>
        </w:rPr>
        <w:t xml:space="preserve">3 </w:t>
      </w:r>
      <w:r w:rsidRPr="00704CAB">
        <w:rPr>
          <w:rFonts w:ascii="Arial" w:eastAsia="Calibri" w:hAnsi="Arial" w:cs="Arial"/>
          <w:b/>
          <w:sz w:val="22"/>
          <w:szCs w:val="22"/>
          <w:vertAlign w:val="superscript"/>
          <w:lang w:val="en-US"/>
        </w:rPr>
        <w:t xml:space="preserve"> </w:t>
      </w:r>
    </w:p>
    <w:p w14:paraId="2FBC6B91" w14:textId="77777777" w:rsidR="00704CAB" w:rsidRPr="00704CAB" w:rsidRDefault="00704CAB" w:rsidP="00704CAB">
      <w:pPr>
        <w:rPr>
          <w:rFonts w:ascii="Arial" w:eastAsia="MS Mincho" w:hAnsi="Arial" w:cs="Arial"/>
          <w:sz w:val="22"/>
          <w:szCs w:val="20"/>
        </w:rPr>
      </w:pPr>
      <w:r w:rsidRPr="00704CAB">
        <w:rPr>
          <w:rFonts w:ascii="Arial" w:eastAsia="MS Mincho" w:hAnsi="Arial" w:cs="Arial"/>
          <w:sz w:val="22"/>
          <w:szCs w:val="20"/>
          <w:vertAlign w:val="superscript"/>
        </w:rPr>
        <w:t>1</w:t>
      </w:r>
      <w:r w:rsidRPr="00704CAB">
        <w:rPr>
          <w:rFonts w:ascii="Arial" w:eastAsia="MS Mincho" w:hAnsi="Arial" w:cs="Arial"/>
          <w:sz w:val="22"/>
          <w:szCs w:val="20"/>
        </w:rPr>
        <w:t xml:space="preserve">Lancaster University. Email: </w:t>
      </w:r>
      <w:hyperlink r:id="rId9" w:history="1">
        <w:r w:rsidRPr="00704CAB">
          <w:rPr>
            <w:rFonts w:ascii="Arial" w:eastAsia="MS Mincho" w:hAnsi="Arial" w:cs="Arial"/>
            <w:color w:val="0563C1"/>
            <w:sz w:val="22"/>
            <w:szCs w:val="20"/>
            <w:u w:val="single"/>
          </w:rPr>
          <w:t>c.murphy4@lancaster.ac.uk</w:t>
        </w:r>
      </w:hyperlink>
      <w:r w:rsidRPr="00704CAB">
        <w:rPr>
          <w:rFonts w:ascii="Arial" w:eastAsia="MS Mincho" w:hAnsi="Arial" w:cs="Arial"/>
          <w:sz w:val="22"/>
          <w:szCs w:val="20"/>
        </w:rPr>
        <w:t xml:space="preserve"> </w:t>
      </w:r>
    </w:p>
    <w:p w14:paraId="6A776A72" w14:textId="77777777" w:rsidR="00704CAB" w:rsidRPr="00704CAB" w:rsidRDefault="00704CAB" w:rsidP="00704CAB">
      <w:pPr>
        <w:rPr>
          <w:rFonts w:ascii="Arial" w:eastAsia="MS Mincho" w:hAnsi="Arial" w:cs="Arial"/>
          <w:sz w:val="22"/>
          <w:szCs w:val="20"/>
        </w:rPr>
      </w:pPr>
    </w:p>
    <w:p w14:paraId="1005E21D" w14:textId="5EFC20DB" w:rsidR="00782893" w:rsidRPr="00704CAB" w:rsidRDefault="00704CAB" w:rsidP="00782893">
      <w:pPr>
        <w:rPr>
          <w:rFonts w:ascii="Arial" w:eastAsia="MS Mincho" w:hAnsi="Arial" w:cs="Arial"/>
          <w:sz w:val="22"/>
          <w:szCs w:val="20"/>
          <w:lang w:val="en-US"/>
        </w:rPr>
      </w:pPr>
      <w:r w:rsidRPr="00704CAB">
        <w:rPr>
          <w:rFonts w:ascii="Arial" w:eastAsia="MS Mincho" w:hAnsi="Arial" w:cs="Arial"/>
          <w:sz w:val="22"/>
          <w:szCs w:val="20"/>
          <w:vertAlign w:val="superscript"/>
          <w:lang w:val="en-US"/>
        </w:rPr>
        <w:t>2</w:t>
      </w:r>
      <w:r w:rsidR="00782893" w:rsidRPr="00704CAB">
        <w:rPr>
          <w:rFonts w:ascii="Arial" w:eastAsia="MS Mincho" w:hAnsi="Arial" w:cs="Arial"/>
          <w:sz w:val="22"/>
          <w:szCs w:val="20"/>
          <w:lang w:val="en-US"/>
        </w:rPr>
        <w:t>Shell.</w:t>
      </w:r>
    </w:p>
    <w:p w14:paraId="421AA6BF" w14:textId="77777777" w:rsidR="00704CAB" w:rsidRPr="00704CAB" w:rsidRDefault="00704CAB" w:rsidP="00704CAB">
      <w:pPr>
        <w:rPr>
          <w:rFonts w:ascii="Arial" w:eastAsia="MS Mincho" w:hAnsi="Arial" w:cs="Arial"/>
          <w:sz w:val="22"/>
          <w:szCs w:val="20"/>
          <w:vertAlign w:val="superscript"/>
          <w:lang w:val="en-US"/>
        </w:rPr>
      </w:pPr>
    </w:p>
    <w:p w14:paraId="5636D9FD" w14:textId="098568C6" w:rsidR="00782893" w:rsidRPr="00704CAB" w:rsidRDefault="00704CAB" w:rsidP="00782893">
      <w:pPr>
        <w:rPr>
          <w:rFonts w:ascii="Arial" w:eastAsia="MS Mincho" w:hAnsi="Arial" w:cs="Arial"/>
          <w:sz w:val="22"/>
          <w:szCs w:val="20"/>
          <w:lang w:val="en-US"/>
        </w:rPr>
      </w:pPr>
      <w:r w:rsidRPr="00704CAB">
        <w:rPr>
          <w:rFonts w:ascii="Arial" w:eastAsia="MS Mincho" w:hAnsi="Arial" w:cs="Arial"/>
          <w:sz w:val="22"/>
          <w:szCs w:val="20"/>
          <w:vertAlign w:val="superscript"/>
          <w:lang w:val="en-US"/>
        </w:rPr>
        <w:t>3</w:t>
      </w:r>
      <w:r w:rsidR="00782893" w:rsidRPr="00704CAB">
        <w:rPr>
          <w:rFonts w:ascii="Arial" w:eastAsia="MS Mincho" w:hAnsi="Arial" w:cs="Arial"/>
          <w:sz w:val="22"/>
          <w:szCs w:val="20"/>
          <w:lang w:val="en-US"/>
        </w:rPr>
        <w:t>Imperial College London</w:t>
      </w:r>
      <w:r w:rsidR="00782893">
        <w:rPr>
          <w:rFonts w:ascii="Arial" w:eastAsia="MS Mincho" w:hAnsi="Arial" w:cs="Arial"/>
          <w:sz w:val="22"/>
          <w:szCs w:val="20"/>
          <w:lang w:val="en-US"/>
        </w:rPr>
        <w:t>.</w:t>
      </w:r>
    </w:p>
    <w:p w14:paraId="137BB4A6" w14:textId="40FB9EBF" w:rsidR="00704CAB" w:rsidRPr="00704CAB" w:rsidRDefault="00704CAB" w:rsidP="00704CAB">
      <w:pPr>
        <w:rPr>
          <w:rFonts w:ascii="Arial" w:eastAsia="MS Mincho" w:hAnsi="Arial" w:cs="Arial"/>
          <w:sz w:val="22"/>
          <w:szCs w:val="20"/>
          <w:lang w:val="en-US"/>
        </w:rPr>
      </w:pPr>
    </w:p>
    <w:p w14:paraId="0BCE04D2" w14:textId="77777777" w:rsidR="00704CAB" w:rsidRPr="00704CAB" w:rsidRDefault="00704CAB" w:rsidP="00704CAB">
      <w:pPr>
        <w:rPr>
          <w:rFonts w:ascii="Arial" w:eastAsia="MS Mincho" w:hAnsi="Arial" w:cs="Arial"/>
          <w:sz w:val="22"/>
          <w:szCs w:val="20"/>
          <w:lang w:val="en-US"/>
        </w:rPr>
      </w:pPr>
    </w:p>
    <w:p w14:paraId="799BAED2" w14:textId="77777777" w:rsidR="00704CAB" w:rsidRPr="00704CAB" w:rsidRDefault="00704CAB" w:rsidP="00704CAB">
      <w:pPr>
        <w:rPr>
          <w:rFonts w:ascii="Arial" w:eastAsia="MS Mincho" w:hAnsi="Arial" w:cs="Arial"/>
          <w:b/>
          <w:lang w:val="en-US"/>
        </w:rPr>
      </w:pPr>
      <w:r w:rsidRPr="00704CAB">
        <w:rPr>
          <w:rFonts w:ascii="Arial" w:eastAsia="MS Mincho" w:hAnsi="Arial" w:cs="Arial"/>
          <w:b/>
          <w:lang w:val="en-US"/>
        </w:rPr>
        <w:t>Abstract</w:t>
      </w:r>
    </w:p>
    <w:p w14:paraId="648EB9E1" w14:textId="77777777" w:rsidR="00704CAB" w:rsidRPr="00704CAB" w:rsidRDefault="00704CAB" w:rsidP="00704CAB">
      <w:pPr>
        <w:rPr>
          <w:rFonts w:ascii="Arial" w:eastAsia="MS Mincho" w:hAnsi="Arial" w:cs="Arial"/>
          <w:b/>
          <w:lang w:val="en-US"/>
        </w:rPr>
      </w:pPr>
    </w:p>
    <w:p w14:paraId="527DD5DD" w14:textId="77777777" w:rsidR="00704CAB" w:rsidRPr="00704CAB" w:rsidRDefault="00704CAB" w:rsidP="00704CAB">
      <w:pPr>
        <w:jc w:val="both"/>
        <w:rPr>
          <w:rFonts w:ascii="Arial" w:eastAsia="Calibri" w:hAnsi="Arial" w:cs="Arial"/>
          <w:szCs w:val="22"/>
        </w:rPr>
      </w:pPr>
      <w:r w:rsidRPr="00704CAB">
        <w:rPr>
          <w:rFonts w:ascii="Arial" w:eastAsia="Calibri" w:hAnsi="Arial" w:cs="Arial"/>
          <w:szCs w:val="22"/>
        </w:rPr>
        <w:t>Earthqua</w:t>
      </w:r>
      <w:bookmarkStart w:id="0" w:name="_GoBack"/>
      <w:bookmarkEnd w:id="0"/>
      <w:r w:rsidRPr="00704CAB">
        <w:rPr>
          <w:rFonts w:ascii="Arial" w:eastAsia="Calibri" w:hAnsi="Arial" w:cs="Arial"/>
          <w:szCs w:val="22"/>
        </w:rPr>
        <w:t xml:space="preserve">kes can be caused either by the motion of tectonic plates or by human activity. Both tectonic and anthropogenic earthquakes can be challenging to model and predict due to the complexity of the underlying processes and the difficulties in obtaining reliable measurements. Accurate inclusion of the uncertainties related to these processes is vital in mitigating future seismic hazards. </w:t>
      </w:r>
    </w:p>
    <w:p w14:paraId="4082530E" w14:textId="77777777" w:rsidR="00704CAB" w:rsidRPr="00704CAB" w:rsidRDefault="00704CAB" w:rsidP="00704CAB">
      <w:pPr>
        <w:jc w:val="both"/>
        <w:rPr>
          <w:rFonts w:ascii="Arial" w:eastAsia="Calibri" w:hAnsi="Arial" w:cs="Arial"/>
          <w:szCs w:val="22"/>
        </w:rPr>
      </w:pPr>
    </w:p>
    <w:p w14:paraId="62B91CC5" w14:textId="77777777" w:rsidR="00704CAB" w:rsidRPr="00704CAB" w:rsidRDefault="00704CAB" w:rsidP="00704CAB">
      <w:pPr>
        <w:jc w:val="both"/>
        <w:rPr>
          <w:rFonts w:ascii="Arial" w:eastAsia="Calibri" w:hAnsi="Arial" w:cs="Arial"/>
          <w:szCs w:val="22"/>
        </w:rPr>
      </w:pPr>
      <w:r w:rsidRPr="00704CAB">
        <w:rPr>
          <w:rFonts w:ascii="Arial" w:eastAsia="Calibri" w:hAnsi="Arial" w:cs="Arial"/>
          <w:szCs w:val="22"/>
        </w:rPr>
        <w:t xml:space="preserve">One of the main challenges that comes with earthquake modelling is variable data quality in the form of rounded and incompletely observed data. This is of particular concern with induced earthquakes which occur at shallow depths with low magnitudes in comparison to tectonic earthquakes. Investment into the development of sensor networks which measure these processes is only worthwhile if such improvements can be incorporated into modelling and inference. These developments can lead to the problem of missing observations from the periods where networks were too sparse to accurately detect these low-magnitude events. </w:t>
      </w:r>
    </w:p>
    <w:p w14:paraId="7291A5DA" w14:textId="77777777" w:rsidR="00704CAB" w:rsidRPr="00704CAB" w:rsidRDefault="00704CAB" w:rsidP="00704CAB">
      <w:pPr>
        <w:jc w:val="both"/>
        <w:rPr>
          <w:rFonts w:ascii="Arial" w:eastAsia="Calibri" w:hAnsi="Arial" w:cs="Arial"/>
          <w:szCs w:val="22"/>
        </w:rPr>
      </w:pPr>
    </w:p>
    <w:p w14:paraId="589498CD" w14:textId="6E80DD92" w:rsidR="00704CAB" w:rsidRPr="00704CAB" w:rsidRDefault="00704CAB" w:rsidP="00704CAB">
      <w:pPr>
        <w:jc w:val="both"/>
        <w:rPr>
          <w:rFonts w:ascii="Arial" w:eastAsia="MS Mincho" w:hAnsi="Arial" w:cs="Arial"/>
          <w:lang w:val="en-US"/>
        </w:rPr>
      </w:pPr>
      <w:r w:rsidRPr="00704CAB">
        <w:rPr>
          <w:rFonts w:ascii="Arial" w:eastAsia="MS Mincho" w:hAnsi="Arial" w:cs="Arial"/>
          <w:lang w:val="en-US"/>
        </w:rPr>
        <w:t xml:space="preserve">Previous work has explored the selection of a time-varying modelling threshold above which earthquake catalogues may be considered complete. This allows smaller magnitude events, unused in other analyses, to contribute to the understanding of extreme events and incorporates changing data-quality into the subsequent extreme value analysis. The sensor network is not uniform across the spatial field and thus, the methodology needs to be developed to allow spatial variability in the parameters of the </w:t>
      </w:r>
      <w:proofErr w:type="spellStart"/>
      <w:r w:rsidRPr="00704CAB">
        <w:rPr>
          <w:rFonts w:ascii="Arial" w:eastAsia="MS Mincho" w:hAnsi="Arial" w:cs="Arial"/>
          <w:lang w:val="en-US"/>
        </w:rPr>
        <w:t>G</w:t>
      </w:r>
      <w:r w:rsidR="00200201">
        <w:rPr>
          <w:rFonts w:ascii="Arial" w:eastAsia="MS Mincho" w:hAnsi="Arial" w:cs="Arial"/>
          <w:lang w:val="en-US"/>
        </w:rPr>
        <w:t>eneralised</w:t>
      </w:r>
      <w:proofErr w:type="spellEnd"/>
      <w:r w:rsidR="00200201">
        <w:rPr>
          <w:rFonts w:ascii="Arial" w:eastAsia="MS Mincho" w:hAnsi="Arial" w:cs="Arial"/>
          <w:lang w:val="en-US"/>
        </w:rPr>
        <w:t xml:space="preserve"> </w:t>
      </w:r>
      <w:r w:rsidRPr="00704CAB">
        <w:rPr>
          <w:rFonts w:ascii="Arial" w:eastAsia="MS Mincho" w:hAnsi="Arial" w:cs="Arial"/>
          <w:lang w:val="en-US"/>
        </w:rPr>
        <w:t>P</w:t>
      </w:r>
      <w:r w:rsidR="00200201">
        <w:rPr>
          <w:rFonts w:ascii="Arial" w:eastAsia="MS Mincho" w:hAnsi="Arial" w:cs="Arial"/>
          <w:lang w:val="en-US"/>
        </w:rPr>
        <w:t>areto distribution</w:t>
      </w:r>
      <w:r w:rsidRPr="00704CAB">
        <w:rPr>
          <w:rFonts w:ascii="Arial" w:eastAsia="MS Mincho" w:hAnsi="Arial" w:cs="Arial"/>
          <w:lang w:val="en-US"/>
        </w:rPr>
        <w:t xml:space="preserve"> to account for these changes in the measurement precision. We explore </w:t>
      </w:r>
      <w:proofErr w:type="spellStart"/>
      <w:r w:rsidRPr="00704CAB">
        <w:rPr>
          <w:rFonts w:ascii="Arial" w:eastAsia="MS Mincho" w:hAnsi="Arial" w:cs="Arial"/>
          <w:lang w:val="en-US"/>
        </w:rPr>
        <w:t>spatio</w:t>
      </w:r>
      <w:proofErr w:type="spellEnd"/>
      <w:r w:rsidRPr="00704CAB">
        <w:rPr>
          <w:rFonts w:ascii="Arial" w:eastAsia="MS Mincho" w:hAnsi="Arial" w:cs="Arial"/>
          <w:lang w:val="en-US"/>
        </w:rPr>
        <w:t xml:space="preserve">-temporal properties of the underlying process and look at developing this automated threshold selection method to represent the spatial variability while still accounting for varying data-quality over time. We compare this method to existing extreme value threshold selection methods.    </w:t>
      </w:r>
    </w:p>
    <w:p w14:paraId="57B6CD02" w14:textId="77777777" w:rsidR="00704CAB" w:rsidRPr="00704CAB" w:rsidRDefault="00704CAB" w:rsidP="00704CAB">
      <w:pPr>
        <w:rPr>
          <w:rFonts w:ascii="Arial" w:eastAsia="MS Mincho" w:hAnsi="Arial" w:cs="Arial"/>
          <w:b/>
          <w:lang w:val="en-US"/>
        </w:rPr>
      </w:pPr>
    </w:p>
    <w:p w14:paraId="69C692F0" w14:textId="77777777" w:rsidR="00A64231" w:rsidRPr="00704CAB" w:rsidRDefault="00A64231">
      <w:pPr>
        <w:rPr>
          <w:lang w:val="en-US"/>
        </w:rPr>
      </w:pPr>
    </w:p>
    <w:sectPr w:rsidR="00A64231" w:rsidRPr="00704CAB" w:rsidSect="00636FC6">
      <w:footerReference w:type="even" r:id="rId10"/>
      <w:footerReference w:type="default" r:id="rId11"/>
      <w:headerReference w:type="first" r:id="rId12"/>
      <w:footerReference w:type="first" r:id="rId13"/>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36C2B" w14:textId="77777777" w:rsidR="00F81757" w:rsidRDefault="00F81757" w:rsidP="00636FC6">
      <w:r>
        <w:separator/>
      </w:r>
    </w:p>
  </w:endnote>
  <w:endnote w:type="continuationSeparator" w:id="0">
    <w:p w14:paraId="3856E916" w14:textId="77777777" w:rsidR="00F81757" w:rsidRDefault="00F81757"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D13763"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D13763"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24FA" w14:textId="77777777" w:rsidR="00F81757" w:rsidRDefault="00F81757" w:rsidP="00636FC6">
      <w:r>
        <w:separator/>
      </w:r>
    </w:p>
  </w:footnote>
  <w:footnote w:type="continuationSeparator" w:id="0">
    <w:p w14:paraId="660AE9E5" w14:textId="77777777" w:rsidR="00F81757" w:rsidRDefault="00F81757"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200201"/>
    <w:rsid w:val="00431D27"/>
    <w:rsid w:val="00636FC6"/>
    <w:rsid w:val="006862C3"/>
    <w:rsid w:val="00704CAB"/>
    <w:rsid w:val="00782893"/>
    <w:rsid w:val="00897E90"/>
    <w:rsid w:val="008D35D6"/>
    <w:rsid w:val="00922CC5"/>
    <w:rsid w:val="009F740F"/>
    <w:rsid w:val="00A21DCC"/>
    <w:rsid w:val="00A64231"/>
    <w:rsid w:val="00D13763"/>
    <w:rsid w:val="00D553BC"/>
    <w:rsid w:val="00DA2FFA"/>
    <w:rsid w:val="00DB7734"/>
    <w:rsid w:val="00E137D7"/>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murphy4@lancast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04E4974CCC244A4059D44A21D011C" ma:contentTypeVersion="13" ma:contentTypeDescription="Create a new document." ma:contentTypeScope="" ma:versionID="4c114d2d5b466060d814b87aa825474c">
  <xsd:schema xmlns:xsd="http://www.w3.org/2001/XMLSchema" xmlns:xs="http://www.w3.org/2001/XMLSchema" xmlns:p="http://schemas.microsoft.com/office/2006/metadata/properties" xmlns:ns3="0ce65128-23a5-49a0-b82c-9f1fe2ef5a84" xmlns:ns4="3dfeab00-e314-4439-8518-4326fcf8fc0d" targetNamespace="http://schemas.microsoft.com/office/2006/metadata/properties" ma:root="true" ma:fieldsID="d432f6c65b05831799a5e73f79870eff" ns3:_="" ns4:_="">
    <xsd:import namespace="0ce65128-23a5-49a0-b82c-9f1fe2ef5a84"/>
    <xsd:import namespace="3dfeab00-e314-4439-8518-4326fcf8fc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5128-23a5-49a0-b82c-9f1fe2ef5a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eab00-e314-4439-8518-4326fcf8fc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01005-76BE-455A-B4B9-6591DA5ED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5128-23a5-49a0-b82c-9f1fe2ef5a84"/>
    <ds:schemaRef ds:uri="3dfeab00-e314-4439-8518-4326fcf8f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2019F-87C8-44DF-98C7-54FBE25B959C}">
  <ds:schemaRefs>
    <ds:schemaRef ds:uri="http://schemas.microsoft.com/sharepoint/v3/contenttype/forms"/>
  </ds:schemaRefs>
</ds:datastoreItem>
</file>

<file path=customXml/itemProps3.xml><?xml version="1.0" encoding="utf-8"?>
<ds:datastoreItem xmlns:ds="http://schemas.openxmlformats.org/officeDocument/2006/customXml" ds:itemID="{D1716638-85CD-4817-9F81-B9702B7CF66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dfeab00-e314-4439-8518-4326fcf8fc0d"/>
    <ds:schemaRef ds:uri="http://purl.org/dc/terms/"/>
    <ds:schemaRef ds:uri="http://schemas.openxmlformats.org/package/2006/metadata/core-properties"/>
    <ds:schemaRef ds:uri="0ce65128-23a5-49a0-b82c-9f1fe2ef5a8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Murphy, Conor (Postgrad Researcher)</cp:lastModifiedBy>
  <cp:revision>2</cp:revision>
  <dcterms:created xsi:type="dcterms:W3CDTF">2021-12-13T20:21:00Z</dcterms:created>
  <dcterms:modified xsi:type="dcterms:W3CDTF">2021-12-13T20:21:00Z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0x01010096304E4974CCC244A4059D44A21D011C</vt:lpwstr>
  </property>
</Properties>
</file>