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A4C4" w14:textId="77777777" w:rsidR="00897E90" w:rsidRDefault="00897E90" w:rsidP="00636FC6">
      <w:pPr>
        <w:rPr>
          <w:rFonts w:ascii="Arial" w:hAnsi="Arial" w:cs="Arial"/>
          <w:b/>
          <w:lang w:val="en-US"/>
        </w:rPr>
      </w:pPr>
    </w:p>
    <w:p w14:paraId="66B9F7F8" w14:textId="77777777" w:rsidR="00B33ECA" w:rsidRPr="00B33ECA" w:rsidRDefault="00B33ECA" w:rsidP="00B33ECA">
      <w:pPr>
        <w:spacing w:line="360" w:lineRule="auto"/>
        <w:jc w:val="center"/>
        <w:rPr>
          <w:rFonts w:ascii="Arial" w:hAnsi="Arial" w:cs="Arial"/>
          <w:b/>
          <w:sz w:val="32"/>
        </w:rPr>
      </w:pPr>
      <w:r w:rsidRPr="00B33ECA">
        <w:rPr>
          <w:rFonts w:ascii="Arial" w:hAnsi="Arial" w:cs="Arial"/>
          <w:b/>
          <w:sz w:val="32"/>
        </w:rPr>
        <w:t>Probabilistic assessment for liquefaction potential of a flood-protection levee</w:t>
      </w:r>
    </w:p>
    <w:p w14:paraId="76491654" w14:textId="6CEA9B29" w:rsidR="00B33ECA" w:rsidRPr="00B33ECA" w:rsidRDefault="00B33ECA" w:rsidP="00636FC6">
      <w:pPr>
        <w:jc w:val="center"/>
        <w:rPr>
          <w:rFonts w:ascii="Arial" w:hAnsi="Arial" w:cs="Arial"/>
          <w:b/>
          <w:sz w:val="32"/>
          <w:lang w:val="en-US"/>
        </w:rPr>
      </w:pPr>
    </w:p>
    <w:p w14:paraId="14C56ED1" w14:textId="5A7AA0DC" w:rsidR="00B33ECA" w:rsidRPr="00B33ECA" w:rsidRDefault="00B33ECA" w:rsidP="00B33ECA">
      <w:pPr>
        <w:pStyle w:val="Affiliation"/>
        <w:rPr>
          <w:rFonts w:ascii="Arial" w:eastAsiaTheme="minorEastAsia" w:hAnsi="Arial" w:cs="Arial"/>
          <w:b/>
          <w:bCs/>
          <w:i w:val="0"/>
          <w:lang w:val="en-US" w:eastAsia="en-US"/>
        </w:rPr>
      </w:pPr>
      <w:r w:rsidRPr="00B33ECA">
        <w:rPr>
          <w:rFonts w:ascii="Arial" w:eastAsiaTheme="minorEastAsia" w:hAnsi="Arial" w:cs="Arial"/>
          <w:b/>
          <w:bCs/>
          <w:i w:val="0"/>
          <w:lang w:val="en-US" w:eastAsia="en-US"/>
        </w:rPr>
        <w:t>Mbarka Selmi</w:t>
      </w:r>
      <w:r w:rsidRPr="00B33ECA">
        <w:rPr>
          <w:rFonts w:ascii="Arial" w:eastAsiaTheme="minorEastAsia" w:hAnsi="Arial" w:cs="Arial"/>
          <w:b/>
          <w:bCs/>
          <w:i w:val="0"/>
          <w:vertAlign w:val="superscript"/>
          <w:lang w:val="en-US" w:eastAsia="en-US"/>
        </w:rPr>
        <w:t>1</w:t>
      </w:r>
      <w:r w:rsidRPr="00B33ECA">
        <w:rPr>
          <w:rFonts w:ascii="Arial" w:eastAsiaTheme="minorEastAsia" w:hAnsi="Arial" w:cs="Arial"/>
          <w:b/>
          <w:bCs/>
          <w:i w:val="0"/>
          <w:lang w:val="en-US" w:eastAsia="en-US"/>
        </w:rPr>
        <w:t xml:space="preserve">, </w:t>
      </w:r>
      <w:r w:rsidR="004F1DD3" w:rsidRPr="00B33ECA">
        <w:rPr>
          <w:rFonts w:ascii="Arial" w:eastAsiaTheme="minorEastAsia" w:hAnsi="Arial" w:cs="Arial"/>
          <w:b/>
          <w:bCs/>
          <w:i w:val="0"/>
          <w:lang w:val="en-US" w:eastAsia="en-US"/>
        </w:rPr>
        <w:t>Yasser Hamdi</w:t>
      </w:r>
      <w:r w:rsidR="004F1DD3">
        <w:rPr>
          <w:rFonts w:ascii="Arial" w:eastAsiaTheme="minorEastAsia" w:hAnsi="Arial" w:cs="Arial"/>
          <w:b/>
          <w:bCs/>
          <w:i w:val="0"/>
          <w:vertAlign w:val="superscript"/>
          <w:lang w:val="en-US" w:eastAsia="en-US"/>
        </w:rPr>
        <w:t>2</w:t>
      </w:r>
      <w:r w:rsidR="00CF5831">
        <w:rPr>
          <w:rFonts w:ascii="Arial" w:eastAsiaTheme="minorEastAsia" w:hAnsi="Arial" w:cs="Arial"/>
          <w:b/>
          <w:bCs/>
          <w:i w:val="0"/>
          <w:lang w:val="en-US" w:eastAsia="en-US"/>
        </w:rPr>
        <w:t xml:space="preserve">, </w:t>
      </w:r>
      <w:r w:rsidR="00CF5831" w:rsidRPr="00B33ECA">
        <w:rPr>
          <w:rFonts w:ascii="Arial" w:eastAsiaTheme="minorEastAsia" w:hAnsi="Arial" w:cs="Arial"/>
          <w:b/>
          <w:bCs/>
          <w:i w:val="0"/>
          <w:lang w:val="en-US" w:eastAsia="en-US"/>
        </w:rPr>
        <w:t>Denis Moiriat</w:t>
      </w:r>
      <w:r w:rsidR="00CF5831">
        <w:rPr>
          <w:rFonts w:ascii="Arial" w:eastAsiaTheme="minorEastAsia" w:hAnsi="Arial" w:cs="Arial"/>
          <w:b/>
          <w:bCs/>
          <w:i w:val="0"/>
          <w:vertAlign w:val="superscript"/>
          <w:lang w:val="en-US" w:eastAsia="en-US"/>
        </w:rPr>
        <w:t>2</w:t>
      </w:r>
    </w:p>
    <w:p w14:paraId="75391626" w14:textId="08649604" w:rsidR="00B33ECA" w:rsidRPr="00B33ECA" w:rsidRDefault="00B33ECA" w:rsidP="00B33ECA">
      <w:pPr>
        <w:pStyle w:val="Correspondencedetails"/>
        <w:spacing w:line="240" w:lineRule="auto"/>
        <w:ind w:left="142" w:hanging="142"/>
        <w:rPr>
          <w:rFonts w:ascii="Arial" w:hAnsi="Arial" w:cs="Arial"/>
          <w:iCs/>
          <w:sz w:val="22"/>
          <w:szCs w:val="22"/>
        </w:rPr>
      </w:pPr>
      <w:r w:rsidRPr="00B33ECA">
        <w:rPr>
          <w:rFonts w:ascii="Arial" w:hAnsi="Arial" w:cs="Arial"/>
          <w:iCs/>
          <w:sz w:val="22"/>
          <w:szCs w:val="22"/>
          <w:vertAlign w:val="superscript"/>
        </w:rPr>
        <w:t>1</w:t>
      </w:r>
      <w:r w:rsidRPr="00B33ECA">
        <w:rPr>
          <w:rFonts w:ascii="Arial" w:hAnsi="Arial" w:cs="Arial"/>
          <w:iCs/>
          <w:sz w:val="22"/>
          <w:szCs w:val="22"/>
        </w:rPr>
        <w:t xml:space="preserve"> Civil Engineering Department, National Engineering School of Gabes, University of Gabes, Tunisia</w:t>
      </w:r>
      <w:r w:rsidRPr="00B33ECA">
        <w:rPr>
          <w:rFonts w:ascii="Arial" w:hAnsi="Arial" w:cs="Arial"/>
          <w:iCs/>
          <w:sz w:val="22"/>
          <w:szCs w:val="22"/>
          <w:lang w:val="en-US"/>
        </w:rPr>
        <w:t xml:space="preserve"> E-mail: </w:t>
      </w:r>
      <w:hyperlink r:id="rId9" w:history="1">
        <w:r w:rsidRPr="00B33ECA">
          <w:rPr>
            <w:rStyle w:val="Lienhypertexte"/>
            <w:rFonts w:ascii="Arial" w:hAnsi="Arial" w:cs="Arial"/>
            <w:iCs/>
            <w:sz w:val="22"/>
            <w:szCs w:val="22"/>
            <w:lang w:val="en-US"/>
          </w:rPr>
          <w:t>selmi.mbarka@yahoo.fr</w:t>
        </w:r>
      </w:hyperlink>
    </w:p>
    <w:p w14:paraId="51AA1F28" w14:textId="2C6699BD" w:rsidR="00B33ECA" w:rsidRPr="00B33ECA" w:rsidRDefault="00B33ECA" w:rsidP="00B33ECA">
      <w:pPr>
        <w:pStyle w:val="Correspondencedetails"/>
        <w:spacing w:line="240" w:lineRule="auto"/>
        <w:rPr>
          <w:rFonts w:ascii="Arial" w:hAnsi="Arial" w:cs="Arial"/>
          <w:iCs/>
          <w:sz w:val="22"/>
          <w:szCs w:val="22"/>
          <w:lang w:val="en-US"/>
        </w:rPr>
      </w:pPr>
      <w:r w:rsidRPr="00B33ECA">
        <w:rPr>
          <w:rFonts w:ascii="Arial" w:hAnsi="Arial" w:cs="Arial"/>
          <w:iCs/>
          <w:sz w:val="22"/>
          <w:szCs w:val="22"/>
          <w:vertAlign w:val="superscript"/>
          <w:lang w:val="en-US"/>
        </w:rPr>
        <w:t>2</w:t>
      </w:r>
      <w:r w:rsidRPr="00B33ECA">
        <w:rPr>
          <w:rFonts w:ascii="Arial" w:hAnsi="Arial" w:cs="Arial"/>
          <w:iCs/>
          <w:sz w:val="22"/>
          <w:szCs w:val="22"/>
          <w:lang w:val="en-US"/>
        </w:rPr>
        <w:t xml:space="preserve"> Institute for Radiological Protection and Nuclear Safety (IRSN), France</w:t>
      </w:r>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63E88241" w14:textId="04472531" w:rsidR="003141D0" w:rsidRDefault="003141D0" w:rsidP="00D87003">
      <w:pPr>
        <w:jc w:val="both"/>
        <w:rPr>
          <w:rFonts w:ascii="Arial" w:hAnsi="Arial" w:cs="Arial"/>
        </w:rPr>
      </w:pPr>
      <w:r w:rsidRPr="003141D0">
        <w:rPr>
          <w:rFonts w:ascii="Arial" w:hAnsi="Arial" w:cs="Arial"/>
        </w:rPr>
        <w:t xml:space="preserve">One of the main initial causes of earthen levees failures during an earthquake is liquefaction triggering which </w:t>
      </w:r>
      <w:r>
        <w:rPr>
          <w:rFonts w:ascii="Arial" w:hAnsi="Arial" w:cs="Arial"/>
        </w:rPr>
        <w:t xml:space="preserve">could </w:t>
      </w:r>
      <w:r w:rsidRPr="003141D0">
        <w:rPr>
          <w:rFonts w:ascii="Arial" w:hAnsi="Arial" w:cs="Arial"/>
        </w:rPr>
        <w:t xml:space="preserve">lead to the levee dismantlement and breach. This phenomenon is well-known in water-saturated soils in which the build-up of pore water pressure during ground shaking could reduce the effective stress and trigger the liquefaction of specific layers of soils located in the structure body or in the foundation ground. Robust estimates of the seismic vulnerability of earthen levees </w:t>
      </w:r>
      <w:r w:rsidR="00DF12D2">
        <w:rPr>
          <w:rFonts w:ascii="Arial" w:hAnsi="Arial" w:cs="Arial"/>
        </w:rPr>
        <w:t xml:space="preserve">with respect to the liquefaction </w:t>
      </w:r>
      <w:r w:rsidRPr="003141D0">
        <w:rPr>
          <w:rFonts w:ascii="Arial" w:hAnsi="Arial" w:cs="Arial"/>
        </w:rPr>
        <w:t>are therefore crucial to define the necessary precautions.</w:t>
      </w:r>
    </w:p>
    <w:p w14:paraId="396DA0D3" w14:textId="744773CE" w:rsidR="00CF5831" w:rsidRDefault="00B33ECA" w:rsidP="00D87003">
      <w:pPr>
        <w:jc w:val="both"/>
        <w:rPr>
          <w:rFonts w:ascii="Arial" w:hAnsi="Arial" w:cs="Arial"/>
        </w:rPr>
      </w:pPr>
      <w:r w:rsidRPr="00B33ECA">
        <w:rPr>
          <w:rFonts w:ascii="Arial" w:hAnsi="Arial" w:cs="Arial"/>
        </w:rPr>
        <w:t xml:space="preserve">This </w:t>
      </w:r>
      <w:r w:rsidR="001659EB">
        <w:rPr>
          <w:rFonts w:ascii="Arial" w:hAnsi="Arial" w:cs="Arial"/>
        </w:rPr>
        <w:t>work</w:t>
      </w:r>
      <w:r w:rsidRPr="00B33ECA">
        <w:rPr>
          <w:rFonts w:ascii="Arial" w:hAnsi="Arial" w:cs="Arial"/>
        </w:rPr>
        <w:t xml:space="preserve"> provides a probabilistic assessment for liquefaction potential of an earthen flood-protection levee with consideration of groundwater level variations over time</w:t>
      </w:r>
      <w:r w:rsidR="00DF12D2">
        <w:rPr>
          <w:rFonts w:ascii="Arial" w:hAnsi="Arial" w:cs="Arial"/>
        </w:rPr>
        <w:t>.</w:t>
      </w:r>
      <w:r w:rsidR="003141D0" w:rsidRPr="003141D0">
        <w:rPr>
          <w:rFonts w:ascii="Arial" w:hAnsi="Arial" w:cs="Arial"/>
        </w:rPr>
        <w:t xml:space="preserve"> </w:t>
      </w:r>
      <w:r w:rsidRPr="00B33ECA">
        <w:rPr>
          <w:rFonts w:ascii="Arial" w:hAnsi="Arial" w:cs="Arial"/>
        </w:rPr>
        <w:t>A frequency analysis based on the Annual Maxima/Generalised Extreme Value (AM/GEV) approach is used to characteri</w:t>
      </w:r>
      <w:r w:rsidR="001659EB">
        <w:rPr>
          <w:rFonts w:ascii="Arial" w:hAnsi="Arial" w:cs="Arial"/>
        </w:rPr>
        <w:t>z</w:t>
      </w:r>
      <w:r w:rsidRPr="00B33ECA">
        <w:rPr>
          <w:rFonts w:ascii="Arial" w:hAnsi="Arial" w:cs="Arial"/>
        </w:rPr>
        <w:t xml:space="preserve">e the distribution of </w:t>
      </w:r>
      <w:r w:rsidR="001659EB">
        <w:rPr>
          <w:rFonts w:ascii="Arial" w:hAnsi="Arial" w:cs="Arial"/>
        </w:rPr>
        <w:t xml:space="preserve">the water table </w:t>
      </w:r>
      <w:r w:rsidRPr="00B33ECA">
        <w:rPr>
          <w:rFonts w:ascii="Arial" w:hAnsi="Arial" w:cs="Arial"/>
        </w:rPr>
        <w:t xml:space="preserve">extreme values. The simplified method currently used in engineering practice is then applied to estimate the factors of safety </w:t>
      </w:r>
      <m:oMath>
        <m:r>
          <w:rPr>
            <w:rFonts w:ascii="Cambria Math" w:hAnsi="Cambria Math" w:cs="Arial"/>
            <w:color w:val="000000" w:themeColor="text1"/>
          </w:rPr>
          <m:t>FoS</m:t>
        </m:r>
      </m:oMath>
      <w:r w:rsidRPr="00B33ECA">
        <w:rPr>
          <w:rFonts w:ascii="Arial" w:hAnsi="Arial" w:cs="Arial"/>
        </w:rPr>
        <w:t xml:space="preserve"> against liquefaction for </w:t>
      </w:r>
      <w:r w:rsidR="00EC07BC">
        <w:rPr>
          <w:rFonts w:ascii="Arial" w:hAnsi="Arial" w:cs="Arial"/>
        </w:rPr>
        <w:t>different</w:t>
      </w:r>
      <w:bookmarkStart w:id="0" w:name="_GoBack"/>
      <w:bookmarkEnd w:id="0"/>
      <w:r w:rsidRPr="00B33ECA">
        <w:rPr>
          <w:rFonts w:ascii="Arial" w:hAnsi="Arial" w:cs="Arial"/>
        </w:rPr>
        <w:t xml:space="preserve"> probabilistic groundwater level scenarios and to display the hazard curves. </w:t>
      </w:r>
    </w:p>
    <w:p w14:paraId="1991BC94" w14:textId="509B6883" w:rsidR="00B33ECA" w:rsidRPr="00B33ECA" w:rsidRDefault="00B33ECA" w:rsidP="00D87003">
      <w:pPr>
        <w:jc w:val="both"/>
        <w:rPr>
          <w:rFonts w:ascii="Arial" w:hAnsi="Arial" w:cs="Arial"/>
          <w:lang w:val="en-US"/>
        </w:rPr>
      </w:pPr>
      <w:r w:rsidRPr="00B33ECA">
        <w:rPr>
          <w:rFonts w:ascii="Arial" w:hAnsi="Arial" w:cs="Arial"/>
        </w:rPr>
        <w:t xml:space="preserve">Unlike the deterministic analysis, which uses a single scenario (often criticised as too conservative) and reveals a certain liquefaction risk of the levee with </w:t>
      </w:r>
      <m:oMath>
        <m:r>
          <w:rPr>
            <w:rFonts w:ascii="Cambria Math" w:hAnsi="Cambria Math" w:cs="Arial"/>
            <w:color w:val="000000" w:themeColor="text1"/>
          </w:rPr>
          <m:t>FoS&lt;1</m:t>
        </m:r>
      </m:oMath>
      <w:r w:rsidRPr="00B33ECA">
        <w:rPr>
          <w:rFonts w:ascii="Arial" w:hAnsi="Arial" w:cs="Arial"/>
        </w:rPr>
        <w:t xml:space="preserve"> under ground shaking, the probabilistic analysis showed that liquefaction is unlikely to occur when the data quantiles are used with various return levels. These findings point out that different liquefaction risk levels may exist for the same </w:t>
      </w:r>
      <m:oMath>
        <m:r>
          <w:rPr>
            <w:rFonts w:ascii="Cambria Math" w:hAnsi="Cambria Math" w:cs="Arial"/>
            <w:color w:val="000000" w:themeColor="text1"/>
          </w:rPr>
          <m:t>FoS</m:t>
        </m:r>
      </m:oMath>
      <w:r w:rsidRPr="00B33ECA">
        <w:rPr>
          <w:rFonts w:ascii="Arial" w:hAnsi="Arial" w:cs="Arial"/>
        </w:rPr>
        <w:t xml:space="preserve"> value indeed. </w:t>
      </w:r>
      <w:r w:rsidR="00CF5831" w:rsidRPr="00B33ECA">
        <w:rPr>
          <w:rFonts w:ascii="Arial" w:hAnsi="Arial" w:cs="Arial"/>
        </w:rPr>
        <w:t>Consequently,</w:t>
      </w:r>
      <w:r w:rsidRPr="00B33ECA">
        <w:rPr>
          <w:rFonts w:ascii="Arial" w:hAnsi="Arial" w:cs="Arial"/>
        </w:rPr>
        <w:t xml:space="preserve"> and despite the inherent limitations of this study, these results demonstrate that the probabilistic approach may provide key information in engineering practice to take stock of the possibilities regarding liquefaction hazard or its consequences.</w:t>
      </w:r>
    </w:p>
    <w:p w14:paraId="146EA90B" w14:textId="386A892A" w:rsidR="00B33ECA" w:rsidRDefault="00B33ECA" w:rsidP="00D87003">
      <w:pPr>
        <w:jc w:val="both"/>
        <w:rPr>
          <w:rFonts w:ascii="Arial" w:hAnsi="Arial" w:cs="Arial"/>
          <w:lang w:val="en-US"/>
        </w:rPr>
      </w:pPr>
    </w:p>
    <w:sectPr w:rsidR="00B33ECA" w:rsidSect="00636FC6">
      <w:footerReference w:type="even" r:id="rId10"/>
      <w:footerReference w:type="default" r:id="rId11"/>
      <w:headerReference w:type="first" r:id="rId12"/>
      <w:footerReference w:type="first" r:id="rId13"/>
      <w:pgSz w:w="11901" w:h="16840"/>
      <w:pgMar w:top="1418" w:right="1418" w:bottom="1418" w:left="1418" w:header="709" w:footer="709"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DAEFF8" w16cex:dateUtc="2021-12-16T20:10:10.694Z"/>
  <w16cex:commentExtensible w16cex:durableId="268C0CC6" w16cex:dateUtc="2021-12-16T20:12:23.4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BF877" w14:textId="77777777" w:rsidR="00AB350D" w:rsidRDefault="00AB350D" w:rsidP="00636FC6">
      <w:r>
        <w:separator/>
      </w:r>
    </w:p>
  </w:endnote>
  <w:endnote w:type="continuationSeparator" w:id="0">
    <w:p w14:paraId="573C2939" w14:textId="77777777" w:rsidR="00AB350D" w:rsidRDefault="00AB350D"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AA39" w14:textId="77777777" w:rsidR="00CF44A6" w:rsidRDefault="00A21DCC" w:rsidP="00FD61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040520" w14:textId="77777777" w:rsidR="00CF44A6" w:rsidRDefault="00AB350D" w:rsidP="00760E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B190" w14:textId="77777777" w:rsidR="00CF44A6" w:rsidRDefault="00A21DCC" w:rsidP="00FD61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36FC6">
      <w:rPr>
        <w:rStyle w:val="Numrodepage"/>
        <w:noProof/>
      </w:rPr>
      <w:t>1</w:t>
    </w:r>
    <w:r>
      <w:rPr>
        <w:rStyle w:val="Numrodepage"/>
      </w:rPr>
      <w:fldChar w:fldCharType="end"/>
    </w:r>
  </w:p>
  <w:p w14:paraId="0ACFA1E7" w14:textId="77777777" w:rsidR="00CF44A6" w:rsidRDefault="00AB350D" w:rsidP="00760E4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472F" w14:textId="77777777" w:rsidR="00636FC6" w:rsidRDefault="00636FC6">
    <w:pPr>
      <w:pStyle w:val="Pieddepage"/>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AFAA" w14:textId="77777777" w:rsidR="00AB350D" w:rsidRDefault="00AB350D" w:rsidP="00636FC6">
      <w:r>
        <w:separator/>
      </w:r>
    </w:p>
  </w:footnote>
  <w:footnote w:type="continuationSeparator" w:id="0">
    <w:p w14:paraId="44EE0094" w14:textId="77777777" w:rsidR="00AB350D" w:rsidRDefault="00AB350D"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E457" w14:textId="71E166AF" w:rsidR="00636FC6" w:rsidRPr="00636FC6" w:rsidRDefault="00636FC6" w:rsidP="00636FC6">
    <w:pPr>
      <w:pStyle w:val="En-tte"/>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1659EB"/>
    <w:rsid w:val="001C0C97"/>
    <w:rsid w:val="0023239E"/>
    <w:rsid w:val="003141D0"/>
    <w:rsid w:val="00317206"/>
    <w:rsid w:val="00431D27"/>
    <w:rsid w:val="00445845"/>
    <w:rsid w:val="004F1DD3"/>
    <w:rsid w:val="00590699"/>
    <w:rsid w:val="00636FC6"/>
    <w:rsid w:val="006862C3"/>
    <w:rsid w:val="006D53D4"/>
    <w:rsid w:val="00897E90"/>
    <w:rsid w:val="008D35D6"/>
    <w:rsid w:val="00922CC5"/>
    <w:rsid w:val="00991F0C"/>
    <w:rsid w:val="009F740F"/>
    <w:rsid w:val="00A21DCC"/>
    <w:rsid w:val="00A64231"/>
    <w:rsid w:val="00AB350D"/>
    <w:rsid w:val="00B33ECA"/>
    <w:rsid w:val="00B42BAE"/>
    <w:rsid w:val="00B620FA"/>
    <w:rsid w:val="00B96F62"/>
    <w:rsid w:val="00CF5831"/>
    <w:rsid w:val="00D553BC"/>
    <w:rsid w:val="00D825A4"/>
    <w:rsid w:val="00D87003"/>
    <w:rsid w:val="00DA2FFA"/>
    <w:rsid w:val="00DB7734"/>
    <w:rsid w:val="00DF12D2"/>
    <w:rsid w:val="00E137D7"/>
    <w:rsid w:val="00EB72E3"/>
    <w:rsid w:val="00EC07BC"/>
    <w:rsid w:val="00F73918"/>
    <w:rsid w:val="00F81757"/>
    <w:rsid w:val="00FC7D0A"/>
    <w:rsid w:val="06856711"/>
    <w:rsid w:val="07A3C418"/>
    <w:rsid w:val="0BDE1D2F"/>
    <w:rsid w:val="10AA2874"/>
    <w:rsid w:val="133E4E54"/>
    <w:rsid w:val="14353875"/>
    <w:rsid w:val="14AA917D"/>
    <w:rsid w:val="19266481"/>
    <w:rsid w:val="1C6FB8C8"/>
    <w:rsid w:val="1E131BF8"/>
    <w:rsid w:val="24FE1FA0"/>
    <w:rsid w:val="26D730ED"/>
    <w:rsid w:val="270196EB"/>
    <w:rsid w:val="2945155C"/>
    <w:rsid w:val="29F7A28B"/>
    <w:rsid w:val="2CD20319"/>
    <w:rsid w:val="32610592"/>
    <w:rsid w:val="343298A6"/>
    <w:rsid w:val="35EC1593"/>
    <w:rsid w:val="3BA76BA7"/>
    <w:rsid w:val="44BE38F1"/>
    <w:rsid w:val="482B4760"/>
    <w:rsid w:val="4900DF06"/>
    <w:rsid w:val="4C591155"/>
    <w:rsid w:val="4DAE3BEA"/>
    <w:rsid w:val="55E1DAF8"/>
    <w:rsid w:val="5F1FC618"/>
    <w:rsid w:val="6189DE50"/>
    <w:rsid w:val="6458FEA4"/>
    <w:rsid w:val="6A466DB9"/>
    <w:rsid w:val="6BBFDB75"/>
    <w:rsid w:val="7028D1FB"/>
    <w:rsid w:val="71877135"/>
    <w:rsid w:val="7C217EF6"/>
    <w:rsid w:val="7E7108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636FC6"/>
    <w:pPr>
      <w:tabs>
        <w:tab w:val="center" w:pos="4320"/>
        <w:tab w:val="right" w:pos="8640"/>
      </w:tabs>
    </w:pPr>
    <w:rPr>
      <w:lang w:val="en-US" w:eastAsia="ja-JP"/>
    </w:rPr>
  </w:style>
  <w:style w:type="character" w:customStyle="1" w:styleId="PieddepageCar">
    <w:name w:val="Pied de page Car"/>
    <w:basedOn w:val="Policepardfaut"/>
    <w:link w:val="Pieddepage"/>
    <w:rsid w:val="00636FC6"/>
    <w:rPr>
      <w:lang w:val="en-US" w:eastAsia="ja-JP"/>
    </w:rPr>
  </w:style>
  <w:style w:type="character" w:styleId="Numrodepage">
    <w:name w:val="page number"/>
    <w:basedOn w:val="Policepardfaut"/>
    <w:unhideWhenUsed/>
    <w:rsid w:val="00636FC6"/>
  </w:style>
  <w:style w:type="character" w:styleId="Lienhypertexte">
    <w:name w:val="Hyperlink"/>
    <w:basedOn w:val="Policepardfaut"/>
    <w:unhideWhenUsed/>
    <w:rsid w:val="00636FC6"/>
    <w:rPr>
      <w:color w:val="0000FF" w:themeColor="hyperlink"/>
      <w:u w:val="single"/>
    </w:rPr>
  </w:style>
  <w:style w:type="paragraph" w:styleId="En-tte">
    <w:name w:val="header"/>
    <w:basedOn w:val="Normal"/>
    <w:link w:val="En-tteCar"/>
    <w:uiPriority w:val="99"/>
    <w:unhideWhenUsed/>
    <w:rsid w:val="00636FC6"/>
    <w:pPr>
      <w:tabs>
        <w:tab w:val="center" w:pos="4320"/>
        <w:tab w:val="right" w:pos="8640"/>
      </w:tabs>
    </w:pPr>
  </w:style>
  <w:style w:type="character" w:customStyle="1" w:styleId="En-tteCar">
    <w:name w:val="En-tête Car"/>
    <w:basedOn w:val="Policepardfaut"/>
    <w:link w:val="En-tte"/>
    <w:uiPriority w:val="99"/>
    <w:rsid w:val="00636FC6"/>
  </w:style>
  <w:style w:type="paragraph" w:styleId="Textedebulles">
    <w:name w:val="Balloon Text"/>
    <w:basedOn w:val="Normal"/>
    <w:link w:val="TextedebullesCar"/>
    <w:uiPriority w:val="99"/>
    <w:semiHidden/>
    <w:unhideWhenUsed/>
    <w:rsid w:val="00636FC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6FC6"/>
    <w:rPr>
      <w:rFonts w:ascii="Lucida Grande" w:hAnsi="Lucida Grande" w:cs="Lucida Grande"/>
      <w:sz w:val="18"/>
      <w:szCs w:val="18"/>
    </w:rPr>
  </w:style>
  <w:style w:type="character" w:styleId="Marquedecommentaire">
    <w:name w:val="annotation reference"/>
    <w:basedOn w:val="Policepardfaut"/>
    <w:uiPriority w:val="99"/>
    <w:semiHidden/>
    <w:unhideWhenUsed/>
    <w:rsid w:val="00445845"/>
    <w:rPr>
      <w:sz w:val="16"/>
      <w:szCs w:val="16"/>
    </w:rPr>
  </w:style>
  <w:style w:type="paragraph" w:styleId="Commentaire">
    <w:name w:val="annotation text"/>
    <w:basedOn w:val="Normal"/>
    <w:link w:val="CommentaireCar"/>
    <w:uiPriority w:val="99"/>
    <w:semiHidden/>
    <w:unhideWhenUsed/>
    <w:rsid w:val="00445845"/>
    <w:rPr>
      <w:sz w:val="20"/>
      <w:szCs w:val="20"/>
    </w:rPr>
  </w:style>
  <w:style w:type="character" w:customStyle="1" w:styleId="CommentaireCar">
    <w:name w:val="Commentaire Car"/>
    <w:basedOn w:val="Policepardfaut"/>
    <w:link w:val="Commentaire"/>
    <w:uiPriority w:val="99"/>
    <w:semiHidden/>
    <w:rsid w:val="00445845"/>
    <w:rPr>
      <w:sz w:val="20"/>
      <w:szCs w:val="20"/>
    </w:rPr>
  </w:style>
  <w:style w:type="paragraph" w:styleId="Objetducommentaire">
    <w:name w:val="annotation subject"/>
    <w:basedOn w:val="Commentaire"/>
    <w:next w:val="Commentaire"/>
    <w:link w:val="ObjetducommentaireCar"/>
    <w:uiPriority w:val="99"/>
    <w:semiHidden/>
    <w:unhideWhenUsed/>
    <w:rsid w:val="00445845"/>
    <w:rPr>
      <w:b/>
      <w:bCs/>
    </w:rPr>
  </w:style>
  <w:style w:type="character" w:customStyle="1" w:styleId="ObjetducommentaireCar">
    <w:name w:val="Objet du commentaire Car"/>
    <w:basedOn w:val="CommentaireCar"/>
    <w:link w:val="Objetducommentaire"/>
    <w:uiPriority w:val="99"/>
    <w:semiHidden/>
    <w:rsid w:val="00445845"/>
    <w:rPr>
      <w:b/>
      <w:bCs/>
      <w:sz w:val="20"/>
      <w:szCs w:val="20"/>
    </w:rPr>
  </w:style>
  <w:style w:type="character" w:styleId="Mentionnonrsolue">
    <w:name w:val="Unresolved Mention"/>
    <w:basedOn w:val="Policepardfaut"/>
    <w:uiPriority w:val="99"/>
    <w:semiHidden/>
    <w:unhideWhenUsed/>
    <w:rsid w:val="00590699"/>
    <w:rPr>
      <w:color w:val="605E5C"/>
      <w:shd w:val="clear" w:color="auto" w:fill="E1DFDD"/>
    </w:rPr>
  </w:style>
  <w:style w:type="paragraph" w:customStyle="1" w:styleId="Affiliation">
    <w:name w:val="Affiliation"/>
    <w:basedOn w:val="Normal"/>
    <w:qFormat/>
    <w:rsid w:val="00B33ECA"/>
    <w:pPr>
      <w:spacing w:before="240" w:line="360" w:lineRule="auto"/>
    </w:pPr>
    <w:rPr>
      <w:rFonts w:ascii="Times New Roman" w:eastAsia="Times New Roman" w:hAnsi="Times New Roman" w:cs="Times New Roman"/>
      <w:i/>
      <w:lang w:eastAsia="en-GB"/>
    </w:rPr>
  </w:style>
  <w:style w:type="paragraph" w:customStyle="1" w:styleId="Correspondencedetails">
    <w:name w:val="Correspondence details"/>
    <w:basedOn w:val="Normal"/>
    <w:qFormat/>
    <w:rsid w:val="00B33ECA"/>
    <w:pPr>
      <w:spacing w:before="240" w:line="360" w:lineRule="auto"/>
    </w:pPr>
    <w:rPr>
      <w:rFonts w:ascii="Times New Roman" w:eastAsia="Times New Roman" w:hAnsi="Times New Roman" w:cs="Times New Roman"/>
      <w:lang w:eastAsia="en-GB"/>
    </w:rPr>
  </w:style>
  <w:style w:type="paragraph" w:customStyle="1" w:styleId="Notesoncontributors">
    <w:name w:val="Notes on contributors"/>
    <w:basedOn w:val="Normal"/>
    <w:qFormat/>
    <w:rsid w:val="00B33ECA"/>
    <w:pPr>
      <w:spacing w:before="240" w:line="360" w:lineRule="auto"/>
    </w:pPr>
    <w:rPr>
      <w:rFonts w:ascii="Times New Roman" w:eastAsia="Times New Roman" w:hAnsi="Times New Roman" w:cs="Times New Roman"/>
      <w:sz w:val="22"/>
      <w:lang w:eastAsia="en-GB"/>
    </w:rPr>
  </w:style>
  <w:style w:type="paragraph" w:customStyle="1" w:styleId="Newparagraph">
    <w:name w:val="New paragraph"/>
    <w:basedOn w:val="Normal"/>
    <w:qFormat/>
    <w:rsid w:val="003141D0"/>
    <w:pPr>
      <w:spacing w:line="480" w:lineRule="auto"/>
      <w:ind w:firstLine="720"/>
    </w:pPr>
    <w:rPr>
      <w:rFonts w:ascii="Times New Roman" w:eastAsia="Times New Roman" w:hAnsi="Times New Roman" w:cs="Times New Roman"/>
      <w:lang w:eastAsia="en-GB"/>
    </w:rPr>
  </w:style>
  <w:style w:type="table" w:styleId="Grilledutableau">
    <w:name w:val="Table Grid"/>
    <w:basedOn w:val="TableauNormal"/>
    <w:uiPriority w:val="59"/>
    <w:rsid w:val="00DF12D2"/>
    <w:rPr>
      <w:rFonts w:eastAsiaTheme="minorHAns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c0db13f1f2fe49fd"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lmi.mbarka@yahoo.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638A91C65D8148A17847E70EB0AE49" ma:contentTypeVersion="10" ma:contentTypeDescription="Crée un document." ma:contentTypeScope="" ma:versionID="91b3b175e6ec047b96483536f8a8b047">
  <xsd:schema xmlns:xsd="http://www.w3.org/2001/XMLSchema" xmlns:xs="http://www.w3.org/2001/XMLSchema" xmlns:p="http://schemas.microsoft.com/office/2006/metadata/properties" xmlns:ns2="52dc33ee-7e8d-4d03-88a9-1324b4cf226b" targetNamespace="http://schemas.microsoft.com/office/2006/metadata/properties" ma:root="true" ma:fieldsID="eeec3f6986e64dbb9fa6aa64b7ead56a" ns2:_="">
    <xsd:import namespace="52dc33ee-7e8d-4d03-88a9-1324b4cf2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33ee-7e8d-4d03-88a9-1324b4cf2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03EF9-9E71-45E2-9686-2C0BB316B721}">
  <ds:schemaRefs>
    <ds:schemaRef ds:uri="http://schemas.microsoft.com/sharepoint/v3/contenttype/forms"/>
  </ds:schemaRefs>
</ds:datastoreItem>
</file>

<file path=customXml/itemProps2.xml><?xml version="1.0" encoding="utf-8"?>
<ds:datastoreItem xmlns:ds="http://schemas.openxmlformats.org/officeDocument/2006/customXml" ds:itemID="{C6096C0E-EFF1-4AB0-901B-07A438AA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c33ee-7e8d-4d03-88a9-1324b4cf2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9E9E9-0E81-4EE6-90B3-31ED4C883A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345</Words>
  <Characters>1899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University of Southampton</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MOIRIAT Denis</cp:lastModifiedBy>
  <cp:revision>4</cp:revision>
  <dcterms:created xsi:type="dcterms:W3CDTF">2021-12-20T15:52:00Z</dcterms:created>
  <dcterms:modified xsi:type="dcterms:W3CDTF">2021-12-20T16:27:00Z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0x010100C6638A91C65D8148A17847E70EB0AE49</vt:lpwstr>
  </property>
</Properties>
</file>