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12A282DC" w:rsidR="00636FC6" w:rsidRPr="00636FC6" w:rsidRDefault="00D87003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 impact of tidal predictions on historical extreme</w:t>
      </w:r>
      <w:r w:rsidR="005735E6">
        <w:rPr>
          <w:rFonts w:ascii="Arial" w:hAnsi="Arial" w:cs="Arial"/>
          <w:b/>
          <w:sz w:val="32"/>
        </w:rPr>
        <w:t xml:space="preserve"> skew</w:t>
      </w:r>
      <w:r>
        <w:rPr>
          <w:rFonts w:ascii="Arial" w:hAnsi="Arial" w:cs="Arial"/>
          <w:b/>
          <w:sz w:val="32"/>
        </w:rPr>
        <w:t xml:space="preserve"> surge</w:t>
      </w:r>
      <w:r w:rsidR="005735E6">
        <w:rPr>
          <w:rFonts w:ascii="Arial" w:hAnsi="Arial" w:cs="Arial"/>
          <w:b/>
          <w:sz w:val="32"/>
        </w:rPr>
        <w:t>s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294B50A3" w:rsidR="00636FC6" w:rsidRPr="00D87003" w:rsidRDefault="00D87003" w:rsidP="1C6FB8C8">
      <w:pPr>
        <w:jc w:val="center"/>
        <w:rPr>
          <w:rFonts w:ascii="Arial" w:hAnsi="Arial" w:cs="Arial"/>
          <w:b/>
          <w:bCs/>
          <w:lang w:val="fr-FR"/>
        </w:rPr>
      </w:pPr>
      <w:r w:rsidRPr="19266481">
        <w:rPr>
          <w:rFonts w:ascii="Arial" w:hAnsi="Arial" w:cs="Arial"/>
          <w:b/>
          <w:bCs/>
          <w:lang w:val="fr-FR"/>
        </w:rPr>
        <w:t>Nathalie Giloy</w:t>
      </w:r>
      <w:r w:rsidRPr="19266481">
        <w:rPr>
          <w:rFonts w:ascii="Arial" w:hAnsi="Arial" w:cs="Arial"/>
          <w:b/>
          <w:bCs/>
          <w:vertAlign w:val="superscript"/>
          <w:lang w:val="fr-FR"/>
        </w:rPr>
        <w:t>1,2</w:t>
      </w:r>
      <w:r w:rsidRPr="19266481">
        <w:rPr>
          <w:rFonts w:ascii="Arial" w:hAnsi="Arial" w:cs="Arial"/>
          <w:b/>
          <w:bCs/>
          <w:lang w:val="fr-FR"/>
        </w:rPr>
        <w:t>, Alexa Latapy</w:t>
      </w:r>
      <w:r w:rsidRPr="19266481">
        <w:rPr>
          <w:rFonts w:ascii="Arial" w:hAnsi="Arial" w:cs="Arial"/>
          <w:b/>
          <w:bCs/>
          <w:vertAlign w:val="superscript"/>
          <w:lang w:val="fr-FR"/>
        </w:rPr>
        <w:t>1</w:t>
      </w:r>
      <w:r w:rsidRPr="19266481">
        <w:rPr>
          <w:rFonts w:ascii="Arial" w:hAnsi="Arial" w:cs="Arial"/>
          <w:b/>
          <w:bCs/>
          <w:lang w:val="fr-FR"/>
        </w:rPr>
        <w:t>, Gaël André</w:t>
      </w:r>
      <w:r w:rsidRPr="19266481">
        <w:rPr>
          <w:rFonts w:ascii="Arial" w:hAnsi="Arial" w:cs="Arial"/>
          <w:b/>
          <w:bCs/>
          <w:vertAlign w:val="superscript"/>
          <w:lang w:val="fr-FR"/>
        </w:rPr>
        <w:t>1</w:t>
      </w:r>
      <w:r w:rsidR="005735E6">
        <w:rPr>
          <w:rFonts w:ascii="Arial" w:hAnsi="Arial" w:cs="Arial"/>
          <w:b/>
          <w:bCs/>
          <w:lang w:val="fr-FR"/>
        </w:rPr>
        <w:t xml:space="preserve">, </w:t>
      </w:r>
      <w:r w:rsidR="00445845" w:rsidRPr="19266481">
        <w:rPr>
          <w:rFonts w:ascii="Arial" w:hAnsi="Arial" w:cs="Arial"/>
          <w:b/>
          <w:bCs/>
          <w:lang w:val="fr-FR"/>
        </w:rPr>
        <w:t>Antonin Migaud</w:t>
      </w:r>
      <w:r w:rsidR="00445845" w:rsidRPr="19266481">
        <w:rPr>
          <w:rFonts w:ascii="Arial" w:hAnsi="Arial" w:cs="Arial"/>
          <w:b/>
          <w:bCs/>
          <w:vertAlign w:val="superscript"/>
          <w:lang w:val="fr-FR"/>
        </w:rPr>
        <w:t>2</w:t>
      </w:r>
      <w:r w:rsidR="00445845" w:rsidRPr="19266481">
        <w:rPr>
          <w:rFonts w:ascii="Arial" w:hAnsi="Arial" w:cs="Arial"/>
          <w:b/>
          <w:bCs/>
          <w:lang w:val="fr-FR"/>
        </w:rPr>
        <w:t>,</w:t>
      </w:r>
      <w:r w:rsidR="00CD4CEC">
        <w:rPr>
          <w:rFonts w:ascii="Arial" w:hAnsi="Arial" w:cs="Arial"/>
          <w:b/>
          <w:bCs/>
          <w:lang w:val="fr-FR"/>
        </w:rPr>
        <w:t xml:space="preserve"> </w:t>
      </w:r>
      <w:r w:rsidR="00CD4CEC" w:rsidRPr="19266481">
        <w:rPr>
          <w:rFonts w:ascii="Arial" w:hAnsi="Arial" w:cs="Arial"/>
          <w:b/>
          <w:bCs/>
          <w:lang w:val="fr-FR"/>
        </w:rPr>
        <w:t>Lise Bardet</w:t>
      </w:r>
      <w:r w:rsidR="00CD4CEC" w:rsidRPr="19266481">
        <w:rPr>
          <w:rFonts w:ascii="Arial" w:hAnsi="Arial" w:cs="Arial"/>
          <w:b/>
          <w:bCs/>
          <w:vertAlign w:val="superscript"/>
          <w:lang w:val="fr-FR"/>
        </w:rPr>
        <w:t>2</w:t>
      </w:r>
      <w:r w:rsidR="00CD4CEC" w:rsidRPr="00CD4CEC">
        <w:rPr>
          <w:rFonts w:ascii="Arial" w:hAnsi="Arial" w:cs="Arial"/>
          <w:b/>
          <w:bCs/>
          <w:lang w:val="fr-FR"/>
        </w:rPr>
        <w:t>,</w:t>
      </w:r>
      <w:r w:rsidR="00CD4CEC">
        <w:rPr>
          <w:rFonts w:ascii="Arial" w:hAnsi="Arial" w:cs="Arial"/>
          <w:b/>
          <w:bCs/>
          <w:vertAlign w:val="superscript"/>
          <w:lang w:val="fr-FR"/>
        </w:rPr>
        <w:t xml:space="preserve"> </w:t>
      </w:r>
      <w:r w:rsidR="00CD4CEC" w:rsidRPr="19266481">
        <w:rPr>
          <w:rFonts w:ascii="Arial" w:hAnsi="Arial" w:cs="Arial"/>
          <w:b/>
          <w:bCs/>
          <w:lang w:val="fr-FR"/>
        </w:rPr>
        <w:t>Yasser Hamdi</w:t>
      </w:r>
      <w:r w:rsidR="00CD4CEC" w:rsidRPr="19266481">
        <w:rPr>
          <w:rFonts w:ascii="Arial" w:hAnsi="Arial" w:cs="Arial"/>
          <w:b/>
          <w:bCs/>
          <w:vertAlign w:val="superscript"/>
          <w:lang w:val="fr-FR"/>
        </w:rPr>
        <w:t>2</w:t>
      </w:r>
      <w:r w:rsidR="00CD4CEC">
        <w:rPr>
          <w:rFonts w:ascii="Arial" w:hAnsi="Arial" w:cs="Arial"/>
          <w:b/>
          <w:bCs/>
          <w:lang w:val="fr-FR"/>
        </w:rPr>
        <w:t xml:space="preserve">, </w:t>
      </w:r>
      <w:r w:rsidR="270196EB" w:rsidRPr="19266481">
        <w:rPr>
          <w:rFonts w:ascii="Arial" w:hAnsi="Arial" w:cs="Arial"/>
          <w:b/>
          <w:bCs/>
          <w:lang w:val="fr-FR"/>
        </w:rPr>
        <w:t>Nicolas Pouvreau</w:t>
      </w:r>
      <w:r w:rsidR="005735E6" w:rsidRPr="19266481">
        <w:rPr>
          <w:rFonts w:ascii="Arial" w:hAnsi="Arial" w:cs="Arial"/>
          <w:b/>
          <w:bCs/>
          <w:vertAlign w:val="superscript"/>
          <w:lang w:val="fr-FR"/>
        </w:rPr>
        <w:t>1</w:t>
      </w:r>
      <w:r w:rsidR="06856711" w:rsidRPr="19266481">
        <w:rPr>
          <w:rFonts w:ascii="Arial" w:hAnsi="Arial" w:cs="Arial"/>
          <w:b/>
          <w:bCs/>
          <w:lang w:val="fr-FR"/>
        </w:rPr>
        <w:t xml:space="preserve">, </w:t>
      </w:r>
    </w:p>
    <w:p w14:paraId="10002DB2" w14:textId="77777777" w:rsidR="00636FC6" w:rsidRPr="00D87003" w:rsidRDefault="00636FC6" w:rsidP="00636FC6">
      <w:pPr>
        <w:rPr>
          <w:rFonts w:ascii="Arial" w:hAnsi="Arial" w:cs="Arial"/>
          <w:vertAlign w:val="superscript"/>
          <w:lang w:val="fr-FR"/>
        </w:rPr>
      </w:pPr>
    </w:p>
    <w:p w14:paraId="71E5B58A" w14:textId="2DCC8BE2" w:rsidR="00636FC6" w:rsidRPr="005735E6" w:rsidRDefault="00636FC6" w:rsidP="00636FC6">
      <w:pPr>
        <w:rPr>
          <w:rFonts w:ascii="Arial" w:hAnsi="Arial" w:cs="Arial"/>
          <w:sz w:val="22"/>
          <w:szCs w:val="22"/>
          <w:lang w:val="fr-FR"/>
        </w:rPr>
      </w:pPr>
      <w:r w:rsidRPr="482B4760">
        <w:rPr>
          <w:rFonts w:ascii="Arial" w:hAnsi="Arial" w:cs="Arial"/>
          <w:sz w:val="22"/>
          <w:szCs w:val="22"/>
          <w:vertAlign w:val="superscript"/>
          <w:lang w:val="fr-FR"/>
        </w:rPr>
        <w:t>1</w:t>
      </w:r>
      <w:r w:rsidR="00D87003" w:rsidRPr="482B4760">
        <w:rPr>
          <w:lang w:val="fr-FR"/>
        </w:rPr>
        <w:t xml:space="preserve"> </w:t>
      </w:r>
      <w:r w:rsidR="00D87003" w:rsidRPr="482B4760">
        <w:rPr>
          <w:rFonts w:ascii="Arial" w:hAnsi="Arial" w:cs="Arial"/>
          <w:sz w:val="22"/>
          <w:szCs w:val="22"/>
          <w:lang w:val="fr-FR"/>
        </w:rPr>
        <w:t xml:space="preserve">French </w:t>
      </w:r>
      <w:r w:rsidR="00445845" w:rsidRPr="482B4760">
        <w:rPr>
          <w:rFonts w:ascii="Arial" w:hAnsi="Arial" w:cs="Arial"/>
          <w:sz w:val="22"/>
          <w:szCs w:val="22"/>
          <w:lang w:val="fr-FR"/>
        </w:rPr>
        <w:t>N</w:t>
      </w:r>
      <w:r w:rsidR="00D87003" w:rsidRPr="482B4760">
        <w:rPr>
          <w:rFonts w:ascii="Arial" w:hAnsi="Arial" w:cs="Arial"/>
          <w:sz w:val="22"/>
          <w:szCs w:val="22"/>
          <w:lang w:val="fr-FR"/>
        </w:rPr>
        <w:t xml:space="preserve">ational </w:t>
      </w:r>
      <w:proofErr w:type="spellStart"/>
      <w:r w:rsidR="00445845" w:rsidRPr="482B4760">
        <w:rPr>
          <w:rFonts w:ascii="Arial" w:hAnsi="Arial" w:cs="Arial"/>
          <w:sz w:val="22"/>
          <w:szCs w:val="22"/>
          <w:lang w:val="fr-FR"/>
        </w:rPr>
        <w:t>H</w:t>
      </w:r>
      <w:r w:rsidR="00D87003" w:rsidRPr="482B4760">
        <w:rPr>
          <w:rFonts w:ascii="Arial" w:hAnsi="Arial" w:cs="Arial"/>
          <w:sz w:val="22"/>
          <w:szCs w:val="22"/>
          <w:lang w:val="fr-FR"/>
        </w:rPr>
        <w:t>ydrographic</w:t>
      </w:r>
      <w:proofErr w:type="spellEnd"/>
      <w:r w:rsidR="00D87003" w:rsidRPr="482B4760">
        <w:rPr>
          <w:rFonts w:ascii="Arial" w:hAnsi="Arial" w:cs="Arial"/>
          <w:sz w:val="22"/>
          <w:szCs w:val="22"/>
          <w:lang w:val="fr-FR"/>
        </w:rPr>
        <w:t xml:space="preserve"> </w:t>
      </w:r>
      <w:r w:rsidR="00445845" w:rsidRPr="482B4760">
        <w:rPr>
          <w:rFonts w:ascii="Arial" w:hAnsi="Arial" w:cs="Arial"/>
          <w:sz w:val="22"/>
          <w:szCs w:val="22"/>
          <w:lang w:val="fr-FR"/>
        </w:rPr>
        <w:t>O</w:t>
      </w:r>
      <w:r w:rsidR="00D87003" w:rsidRPr="482B4760">
        <w:rPr>
          <w:rFonts w:ascii="Arial" w:hAnsi="Arial" w:cs="Arial"/>
          <w:sz w:val="22"/>
          <w:szCs w:val="22"/>
          <w:lang w:val="fr-FR"/>
        </w:rPr>
        <w:t>ffice</w:t>
      </w:r>
      <w:r w:rsidR="6BBFDB75" w:rsidRPr="482B4760">
        <w:rPr>
          <w:rFonts w:ascii="Arial" w:hAnsi="Arial" w:cs="Arial"/>
          <w:sz w:val="22"/>
          <w:szCs w:val="22"/>
          <w:lang w:val="fr-FR"/>
        </w:rPr>
        <w:t xml:space="preserve"> (Shom)</w:t>
      </w:r>
      <w:r w:rsidR="00445845" w:rsidRPr="482B4760">
        <w:rPr>
          <w:rFonts w:ascii="Arial" w:hAnsi="Arial" w:cs="Arial"/>
          <w:sz w:val="22"/>
          <w:szCs w:val="22"/>
          <w:lang w:val="fr-FR"/>
        </w:rPr>
        <w:t xml:space="preserve">, 13, rue du </w:t>
      </w:r>
      <w:proofErr w:type="spellStart"/>
      <w:r w:rsidR="00445845" w:rsidRPr="482B4760">
        <w:rPr>
          <w:rFonts w:ascii="Arial" w:hAnsi="Arial" w:cs="Arial"/>
          <w:sz w:val="22"/>
          <w:szCs w:val="22"/>
          <w:lang w:val="fr-FR"/>
        </w:rPr>
        <w:t>Châtellier</w:t>
      </w:r>
      <w:proofErr w:type="spellEnd"/>
      <w:r w:rsidR="00445845" w:rsidRPr="482B4760">
        <w:rPr>
          <w:rFonts w:ascii="Arial" w:hAnsi="Arial" w:cs="Arial"/>
          <w:sz w:val="22"/>
          <w:szCs w:val="22"/>
          <w:lang w:val="fr-FR"/>
        </w:rPr>
        <w:t xml:space="preserve"> - CS 92803 - 29228 Brest CEDEX 2.</w:t>
      </w:r>
      <w:r w:rsidRPr="482B4760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5735E6"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 w:rsidRPr="005735E6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9">
        <w:r w:rsidR="00590699" w:rsidRPr="005735E6">
          <w:rPr>
            <w:rStyle w:val="Lienhypertexte"/>
            <w:rFonts w:ascii="Arial" w:hAnsi="Arial" w:cs="Arial"/>
            <w:sz w:val="22"/>
            <w:szCs w:val="22"/>
            <w:lang w:val="fr-FR"/>
          </w:rPr>
          <w:t>nathalie.giloy@shom.fr</w:t>
        </w:r>
      </w:hyperlink>
      <w:r w:rsidR="00590699" w:rsidRPr="005735E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47271F6" w14:textId="77777777" w:rsidR="00636FC6" w:rsidRPr="005735E6" w:rsidRDefault="00636FC6" w:rsidP="005735E6">
      <w:pPr>
        <w:rPr>
          <w:rFonts w:ascii="Arial" w:hAnsi="Arial" w:cs="Arial"/>
          <w:sz w:val="22"/>
          <w:szCs w:val="20"/>
          <w:lang w:val="fr-FR"/>
        </w:rPr>
      </w:pPr>
    </w:p>
    <w:p w14:paraId="058AA38B" w14:textId="4EDE98A8" w:rsidR="00636FC6" w:rsidRPr="00636FC6" w:rsidRDefault="00636FC6" w:rsidP="005735E6">
      <w:pPr>
        <w:rPr>
          <w:rFonts w:ascii="Arial" w:hAnsi="Arial" w:cs="Arial"/>
          <w:sz w:val="22"/>
          <w:szCs w:val="22"/>
          <w:lang w:val="en-US"/>
        </w:rPr>
      </w:pPr>
      <w:r w:rsidRPr="482B4760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445845" w:rsidRPr="482B476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482B4760">
        <w:rPr>
          <w:rFonts w:ascii="Arial" w:hAnsi="Arial" w:cs="Arial"/>
          <w:sz w:val="22"/>
          <w:szCs w:val="22"/>
          <w:lang w:val="en-US"/>
        </w:rPr>
        <w:t xml:space="preserve">The </w:t>
      </w:r>
      <w:r w:rsidR="00445845" w:rsidRPr="482B4760">
        <w:rPr>
          <w:rFonts w:ascii="Arial" w:hAnsi="Arial" w:cs="Arial"/>
          <w:sz w:val="22"/>
          <w:szCs w:val="22"/>
          <w:lang w:val="en-US"/>
        </w:rPr>
        <w:t>Institute for Radiological Protection and Nuclear Safety</w:t>
      </w:r>
      <w:r w:rsidR="343298A6" w:rsidRPr="482B4760">
        <w:rPr>
          <w:rFonts w:ascii="Arial" w:hAnsi="Arial" w:cs="Arial"/>
          <w:sz w:val="22"/>
          <w:szCs w:val="22"/>
          <w:lang w:val="en-US"/>
        </w:rPr>
        <w:t xml:space="preserve"> (IRSN)</w:t>
      </w:r>
      <w:r w:rsidR="00445845" w:rsidRPr="482B4760">
        <w:rPr>
          <w:rFonts w:ascii="Arial" w:hAnsi="Arial" w:cs="Arial"/>
          <w:sz w:val="22"/>
          <w:szCs w:val="22"/>
          <w:lang w:val="en-US"/>
        </w:rPr>
        <w:t>, BP17, 92 262 Fontenay</w:t>
      </w:r>
      <w:r w:rsidR="00445845" w:rsidRPr="482B4760">
        <w:rPr>
          <w:rFonts w:ascii="Cambria Math" w:hAnsi="Cambria Math" w:cs="Cambria Math"/>
          <w:sz w:val="22"/>
          <w:szCs w:val="22"/>
          <w:lang w:val="en-US"/>
        </w:rPr>
        <w:t>‑</w:t>
      </w:r>
      <w:r w:rsidR="00445845" w:rsidRPr="482B4760">
        <w:rPr>
          <w:rFonts w:ascii="Arial" w:hAnsi="Arial" w:cs="Arial"/>
          <w:sz w:val="22"/>
          <w:szCs w:val="22"/>
          <w:lang w:val="en-US"/>
        </w:rPr>
        <w:t>aux</w:t>
      </w:r>
      <w:r w:rsidR="00445845" w:rsidRPr="482B4760">
        <w:rPr>
          <w:rFonts w:ascii="Cambria Math" w:hAnsi="Cambria Math" w:cs="Cambria Math"/>
          <w:sz w:val="22"/>
          <w:szCs w:val="22"/>
          <w:lang w:val="en-US"/>
        </w:rPr>
        <w:t>‑</w:t>
      </w:r>
      <w:r w:rsidR="00445845" w:rsidRPr="482B4760">
        <w:rPr>
          <w:rFonts w:ascii="Arial" w:hAnsi="Arial" w:cs="Arial"/>
          <w:sz w:val="22"/>
          <w:szCs w:val="22"/>
          <w:lang w:val="en-US"/>
        </w:rPr>
        <w:t>Roses Cedex, France</w:t>
      </w:r>
      <w:r w:rsidRPr="482B4760">
        <w:rPr>
          <w:rFonts w:ascii="Arial" w:hAnsi="Arial" w:cs="Arial"/>
          <w:sz w:val="22"/>
          <w:szCs w:val="22"/>
          <w:lang w:val="en-US"/>
        </w:rPr>
        <w:t>.</w:t>
      </w: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7F294E52" w14:textId="6938344C" w:rsidR="00D87003" w:rsidRDefault="00D87003" w:rsidP="0089721E">
      <w:pPr>
        <w:jc w:val="both"/>
        <w:rPr>
          <w:rFonts w:ascii="Arial" w:hAnsi="Arial" w:cs="Arial"/>
          <w:lang w:val="en-US"/>
        </w:rPr>
      </w:pPr>
      <w:r w:rsidRPr="19266481">
        <w:rPr>
          <w:rFonts w:ascii="Arial" w:hAnsi="Arial" w:cs="Arial"/>
          <w:lang w:val="en-US"/>
        </w:rPr>
        <w:t>Extreme sea and skew surge levels are variables commonly used in public policies and integrated coastal zone management. In France</w:t>
      </w:r>
      <w:r w:rsidR="006D53D4" w:rsidRPr="19266481">
        <w:rPr>
          <w:rFonts w:ascii="Arial" w:hAnsi="Arial" w:cs="Arial"/>
          <w:lang w:val="en-US"/>
        </w:rPr>
        <w:t>, this policy is mainly supported by the Ministry of Ecological Transition.</w:t>
      </w:r>
      <w:r w:rsidRPr="19266481">
        <w:rPr>
          <w:rFonts w:ascii="Arial" w:hAnsi="Arial" w:cs="Arial"/>
          <w:lang w:val="en-US"/>
        </w:rPr>
        <w:t xml:space="preserve"> </w:t>
      </w:r>
      <w:r w:rsidR="006D53D4" w:rsidRPr="19266481">
        <w:rPr>
          <w:rFonts w:ascii="Arial" w:hAnsi="Arial" w:cs="Arial"/>
          <w:lang w:val="en-US"/>
        </w:rPr>
        <w:t>Mo</w:t>
      </w:r>
      <w:r w:rsidRPr="19266481">
        <w:rPr>
          <w:rFonts w:ascii="Arial" w:hAnsi="Arial" w:cs="Arial"/>
          <w:lang w:val="en-US"/>
        </w:rPr>
        <w:t xml:space="preserve">re specifically in the framework of nuclear safety, the protective infrastructures are </w:t>
      </w:r>
      <w:r w:rsidR="0089721E">
        <w:rPr>
          <w:rFonts w:ascii="Arial" w:hAnsi="Arial" w:cs="Arial"/>
          <w:lang w:val="en-US"/>
        </w:rPr>
        <w:t xml:space="preserve">designed for </w:t>
      </w:r>
      <w:r w:rsidRPr="19266481">
        <w:rPr>
          <w:rFonts w:ascii="Arial" w:hAnsi="Arial" w:cs="Arial"/>
          <w:lang w:val="en-US"/>
        </w:rPr>
        <w:t>a</w:t>
      </w:r>
      <w:r w:rsidR="00991F0C" w:rsidRPr="19266481">
        <w:rPr>
          <w:rFonts w:ascii="Arial" w:hAnsi="Arial" w:cs="Arial"/>
          <w:lang w:val="en-US"/>
        </w:rPr>
        <w:t xml:space="preserve"> sea</w:t>
      </w:r>
      <w:r w:rsidRPr="19266481">
        <w:rPr>
          <w:rFonts w:ascii="Arial" w:hAnsi="Arial" w:cs="Arial"/>
          <w:lang w:val="en-US"/>
        </w:rPr>
        <w:t xml:space="preserve"> level corresponding to a combination of the highest astronomical tide, the </w:t>
      </w:r>
      <w:r w:rsidR="006D53D4" w:rsidRPr="19266481">
        <w:rPr>
          <w:rFonts w:ascii="Arial" w:hAnsi="Arial" w:cs="Arial"/>
          <w:lang w:val="en-US"/>
        </w:rPr>
        <w:t>upper bound</w:t>
      </w:r>
      <w:r w:rsidRPr="19266481">
        <w:rPr>
          <w:rFonts w:ascii="Arial" w:hAnsi="Arial" w:cs="Arial"/>
          <w:lang w:val="en-US"/>
        </w:rPr>
        <w:t xml:space="preserve"> </w:t>
      </w:r>
      <w:r w:rsidR="3BA76BA7" w:rsidRPr="19266481">
        <w:rPr>
          <w:rFonts w:ascii="Arial" w:hAnsi="Arial" w:cs="Arial"/>
          <w:lang w:val="en-US"/>
        </w:rPr>
        <w:t xml:space="preserve">of the </w:t>
      </w:r>
      <w:r w:rsidRPr="19266481">
        <w:rPr>
          <w:rFonts w:ascii="Arial" w:hAnsi="Arial" w:cs="Arial"/>
          <w:lang w:val="en-US"/>
        </w:rPr>
        <w:t xml:space="preserve">70% confidence interval </w:t>
      </w:r>
      <w:r w:rsidR="24FE1FA0" w:rsidRPr="19266481">
        <w:rPr>
          <w:rFonts w:ascii="Arial" w:hAnsi="Arial" w:cs="Arial"/>
          <w:lang w:val="en-US"/>
        </w:rPr>
        <w:t xml:space="preserve">corresponding to </w:t>
      </w:r>
      <w:r w:rsidRPr="19266481">
        <w:rPr>
          <w:rFonts w:ascii="Arial" w:hAnsi="Arial" w:cs="Arial"/>
          <w:lang w:val="en-US"/>
        </w:rPr>
        <w:t xml:space="preserve">the 1000-year return skew surge and changes of mean sea level. So far, the </w:t>
      </w:r>
      <w:r w:rsidR="29F7A28B" w:rsidRPr="19266481">
        <w:rPr>
          <w:rFonts w:ascii="Arial" w:hAnsi="Arial" w:cs="Arial"/>
          <w:lang w:val="en-US"/>
        </w:rPr>
        <w:t xml:space="preserve">extreme </w:t>
      </w:r>
      <w:r w:rsidRPr="19266481">
        <w:rPr>
          <w:rFonts w:ascii="Arial" w:hAnsi="Arial" w:cs="Arial"/>
          <w:lang w:val="en-US"/>
        </w:rPr>
        <w:t xml:space="preserve">skew surges are estimated using systematic tide gauge data, but more and more historical information is considered to improve </w:t>
      </w:r>
      <w:r w:rsidR="4C591155" w:rsidRPr="19266481">
        <w:rPr>
          <w:rFonts w:ascii="Arial" w:hAnsi="Arial" w:cs="Arial"/>
          <w:lang w:val="en-US"/>
        </w:rPr>
        <w:t>the estimates</w:t>
      </w:r>
      <w:r w:rsidR="26D730ED" w:rsidRPr="19266481">
        <w:rPr>
          <w:rFonts w:ascii="Arial" w:hAnsi="Arial" w:cs="Arial"/>
          <w:lang w:val="en-US"/>
        </w:rPr>
        <w:t xml:space="preserve"> and to</w:t>
      </w:r>
      <w:r w:rsidR="0023239E" w:rsidRPr="19266481">
        <w:rPr>
          <w:rFonts w:ascii="Arial" w:hAnsi="Arial" w:cs="Arial"/>
          <w:lang w:val="en-US"/>
        </w:rPr>
        <w:t xml:space="preserve"> reduc</w:t>
      </w:r>
      <w:r w:rsidR="7028D1FB" w:rsidRPr="19266481">
        <w:rPr>
          <w:rFonts w:ascii="Arial" w:hAnsi="Arial" w:cs="Arial"/>
          <w:lang w:val="en-US"/>
        </w:rPr>
        <w:t>e the associated</w:t>
      </w:r>
      <w:r w:rsidR="0023239E" w:rsidRPr="19266481">
        <w:rPr>
          <w:rFonts w:ascii="Arial" w:hAnsi="Arial" w:cs="Arial"/>
          <w:lang w:val="en-US"/>
        </w:rPr>
        <w:t xml:space="preserve"> uncertainties due to</w:t>
      </w:r>
      <w:r w:rsidR="133E4E54" w:rsidRPr="19266481">
        <w:rPr>
          <w:rFonts w:ascii="Arial" w:hAnsi="Arial" w:cs="Arial"/>
          <w:lang w:val="en-US"/>
        </w:rPr>
        <w:t xml:space="preserve"> the presence of</w:t>
      </w:r>
      <w:r w:rsidR="0023239E" w:rsidRPr="19266481">
        <w:rPr>
          <w:rFonts w:ascii="Arial" w:hAnsi="Arial" w:cs="Arial"/>
          <w:lang w:val="en-US"/>
        </w:rPr>
        <w:t xml:space="preserve"> </w:t>
      </w:r>
      <w:r w:rsidR="6458FEA4" w:rsidRPr="19266481">
        <w:rPr>
          <w:rFonts w:ascii="Arial" w:hAnsi="Arial" w:cs="Arial"/>
          <w:lang w:val="en-US"/>
        </w:rPr>
        <w:t xml:space="preserve">an </w:t>
      </w:r>
      <w:r w:rsidR="0023239E" w:rsidRPr="19266481">
        <w:rPr>
          <w:rFonts w:ascii="Arial" w:hAnsi="Arial" w:cs="Arial"/>
          <w:lang w:val="en-US"/>
        </w:rPr>
        <w:t xml:space="preserve">outlier in </w:t>
      </w:r>
      <w:r w:rsidR="7C217EF6" w:rsidRPr="19266481">
        <w:rPr>
          <w:rFonts w:ascii="Arial" w:hAnsi="Arial" w:cs="Arial"/>
          <w:lang w:val="en-US"/>
        </w:rPr>
        <w:t>the sample</w:t>
      </w:r>
      <w:r w:rsidRPr="19266481">
        <w:rPr>
          <w:rFonts w:ascii="Arial" w:hAnsi="Arial" w:cs="Arial"/>
          <w:lang w:val="en-US"/>
        </w:rPr>
        <w:t>.</w:t>
      </w:r>
    </w:p>
    <w:p w14:paraId="2A298B26" w14:textId="77777777" w:rsidR="00D87003" w:rsidRPr="00D87003" w:rsidRDefault="00D87003" w:rsidP="00D87003">
      <w:pPr>
        <w:jc w:val="both"/>
        <w:rPr>
          <w:rFonts w:ascii="Arial" w:hAnsi="Arial" w:cs="Arial"/>
          <w:lang w:val="en-US"/>
        </w:rPr>
      </w:pPr>
    </w:p>
    <w:p w14:paraId="6EAE908E" w14:textId="4D56F689" w:rsidR="00D87003" w:rsidRDefault="00D87003" w:rsidP="00D87003">
      <w:pPr>
        <w:jc w:val="both"/>
        <w:rPr>
          <w:rFonts w:ascii="Arial" w:hAnsi="Arial" w:cs="Arial"/>
          <w:lang w:val="en-US"/>
        </w:rPr>
      </w:pPr>
      <w:r w:rsidRPr="19266481">
        <w:rPr>
          <w:rFonts w:ascii="Arial" w:hAnsi="Arial" w:cs="Arial"/>
          <w:lang w:val="en-US"/>
        </w:rPr>
        <w:t xml:space="preserve">Defined as the difference between the highest observed sea level and the highest astronomical level during a tidal cycle, the estimation of skew surges implicates the estimation of tidal predictions. While the process is well established for current tidal predictions, different approaches to estimate </w:t>
      </w:r>
      <w:r w:rsidR="2945155C" w:rsidRPr="19266481">
        <w:rPr>
          <w:rFonts w:ascii="Arial" w:hAnsi="Arial" w:cs="Arial"/>
          <w:lang w:val="en-US"/>
        </w:rPr>
        <w:t>them</w:t>
      </w:r>
      <w:r w:rsidRPr="19266481">
        <w:rPr>
          <w:rFonts w:ascii="Arial" w:hAnsi="Arial" w:cs="Arial"/>
          <w:lang w:val="en-US"/>
        </w:rPr>
        <w:t xml:space="preserve"> for historic events have been used in </w:t>
      </w:r>
      <w:r w:rsidR="0089721E">
        <w:rPr>
          <w:rFonts w:ascii="Arial" w:hAnsi="Arial" w:cs="Arial"/>
          <w:lang w:val="en-US"/>
        </w:rPr>
        <w:t>several</w:t>
      </w:r>
      <w:r w:rsidRPr="19266481">
        <w:rPr>
          <w:rFonts w:ascii="Arial" w:hAnsi="Arial" w:cs="Arial"/>
          <w:lang w:val="en-US"/>
        </w:rPr>
        <w:t xml:space="preserve"> research projects.</w:t>
      </w:r>
    </w:p>
    <w:p w14:paraId="282C6261" w14:textId="77777777" w:rsidR="00D87003" w:rsidRPr="00D87003" w:rsidRDefault="00D87003" w:rsidP="00D87003">
      <w:pPr>
        <w:jc w:val="both"/>
        <w:rPr>
          <w:rFonts w:ascii="Arial" w:hAnsi="Arial" w:cs="Arial"/>
          <w:lang w:val="en-US"/>
        </w:rPr>
      </w:pPr>
    </w:p>
    <w:p w14:paraId="4AC10416" w14:textId="4D58B1E4" w:rsidR="00636FC6" w:rsidRPr="00D87003" w:rsidRDefault="00CD4CEC" w:rsidP="1926648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This study aims</w:t>
      </w:r>
      <w:r w:rsidR="00D87003" w:rsidRPr="19266481">
        <w:rPr>
          <w:rFonts w:ascii="Arial" w:hAnsi="Arial" w:cs="Arial"/>
          <w:lang w:val="en-US"/>
        </w:rPr>
        <w:t xml:space="preserve"> to present the impact of</w:t>
      </w:r>
      <w:r w:rsidR="005735E6">
        <w:rPr>
          <w:rFonts w:ascii="Arial" w:hAnsi="Arial" w:cs="Arial"/>
          <w:lang w:val="en-US"/>
        </w:rPr>
        <w:t xml:space="preserve"> using</w:t>
      </w:r>
      <w:r w:rsidR="00D87003" w:rsidRPr="19266481">
        <w:rPr>
          <w:rFonts w:ascii="Arial" w:hAnsi="Arial" w:cs="Arial"/>
          <w:lang w:val="en-US"/>
        </w:rPr>
        <w:t xml:space="preserve"> different methods to estimate historic tidal prediction</w:t>
      </w:r>
      <w:r>
        <w:rPr>
          <w:rFonts w:ascii="Arial" w:hAnsi="Arial" w:cs="Arial"/>
          <w:lang w:val="en-US"/>
        </w:rPr>
        <w:t>s</w:t>
      </w:r>
      <w:r w:rsidR="00D87003" w:rsidRPr="1926648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when</w:t>
      </w:r>
      <w:r w:rsidR="005735E6">
        <w:rPr>
          <w:rFonts w:ascii="Arial" w:hAnsi="Arial" w:cs="Arial"/>
          <w:lang w:val="en-US"/>
        </w:rPr>
        <w:t xml:space="preserve"> establishing skew surges. </w:t>
      </w:r>
      <w:bookmarkStart w:id="0" w:name="_GoBack"/>
      <w:bookmarkEnd w:id="0"/>
    </w:p>
    <w:p w14:paraId="69C692F0" w14:textId="77777777" w:rsidR="00A64231" w:rsidRDefault="00A64231"/>
    <w:sectPr w:rsidR="00A64231" w:rsidSect="00636FC6"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DAEFF8" w16cex:dateUtc="2021-12-16T20:10:10.694Z"/>
  <w16cex:commentExtensible w16cex:durableId="268C0CC6" w16cex:dateUtc="2021-12-16T20:12:23.41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6C2B" w14:textId="77777777" w:rsidR="00F81757" w:rsidRDefault="00F81757" w:rsidP="00636FC6">
      <w:r>
        <w:separator/>
      </w:r>
    </w:p>
  </w:endnote>
  <w:endnote w:type="continuationSeparator" w:id="0">
    <w:p w14:paraId="3856E916" w14:textId="77777777" w:rsidR="00F81757" w:rsidRDefault="00F81757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AA39" w14:textId="77777777" w:rsidR="00CF44A6" w:rsidRDefault="00A21DCC" w:rsidP="00FD61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40520" w14:textId="77777777" w:rsidR="00CF44A6" w:rsidRDefault="00CD4CEC" w:rsidP="00760E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B190" w14:textId="77777777" w:rsidR="00CF44A6" w:rsidRDefault="00A21DCC" w:rsidP="00FD61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6FC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CFA1E7" w14:textId="77777777" w:rsidR="00CF44A6" w:rsidRDefault="00CD4CEC" w:rsidP="00760E4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472F" w14:textId="77777777" w:rsidR="00636FC6" w:rsidRDefault="00636FC6">
    <w:pPr>
      <w:pStyle w:val="Pieddepage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24FA" w14:textId="77777777" w:rsidR="00F81757" w:rsidRDefault="00F81757" w:rsidP="00636FC6">
      <w:r>
        <w:separator/>
      </w:r>
    </w:p>
  </w:footnote>
  <w:footnote w:type="continuationSeparator" w:id="0">
    <w:p w14:paraId="660AE9E5" w14:textId="77777777" w:rsidR="00F81757" w:rsidRDefault="00F81757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E457" w14:textId="71E166AF" w:rsidR="00636FC6" w:rsidRPr="00636FC6" w:rsidRDefault="00636FC6" w:rsidP="00636FC6">
    <w:pPr>
      <w:pStyle w:val="En-tte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1C0C97"/>
    <w:rsid w:val="0023239E"/>
    <w:rsid w:val="00431D27"/>
    <w:rsid w:val="00445845"/>
    <w:rsid w:val="005735E6"/>
    <w:rsid w:val="00590699"/>
    <w:rsid w:val="00636FC6"/>
    <w:rsid w:val="006862C3"/>
    <w:rsid w:val="006D53D4"/>
    <w:rsid w:val="0089721E"/>
    <w:rsid w:val="00897E90"/>
    <w:rsid w:val="008D35D6"/>
    <w:rsid w:val="00922CC5"/>
    <w:rsid w:val="00991F0C"/>
    <w:rsid w:val="009F740F"/>
    <w:rsid w:val="00A21DCC"/>
    <w:rsid w:val="00A64231"/>
    <w:rsid w:val="00B620FA"/>
    <w:rsid w:val="00B96F62"/>
    <w:rsid w:val="00CD4CEC"/>
    <w:rsid w:val="00D553BC"/>
    <w:rsid w:val="00D87003"/>
    <w:rsid w:val="00DA2FFA"/>
    <w:rsid w:val="00DB7734"/>
    <w:rsid w:val="00E137D7"/>
    <w:rsid w:val="00F73918"/>
    <w:rsid w:val="00F81757"/>
    <w:rsid w:val="00FC7D0A"/>
    <w:rsid w:val="06856711"/>
    <w:rsid w:val="07A3C418"/>
    <w:rsid w:val="0BDE1D2F"/>
    <w:rsid w:val="10AA2874"/>
    <w:rsid w:val="133E4E54"/>
    <w:rsid w:val="14353875"/>
    <w:rsid w:val="14AA917D"/>
    <w:rsid w:val="19266481"/>
    <w:rsid w:val="1C6FB8C8"/>
    <w:rsid w:val="1E131BF8"/>
    <w:rsid w:val="24FE1FA0"/>
    <w:rsid w:val="26D730ED"/>
    <w:rsid w:val="270196EB"/>
    <w:rsid w:val="2945155C"/>
    <w:rsid w:val="29F7A28B"/>
    <w:rsid w:val="2CD20319"/>
    <w:rsid w:val="32610592"/>
    <w:rsid w:val="343298A6"/>
    <w:rsid w:val="35EC1593"/>
    <w:rsid w:val="3BA76BA7"/>
    <w:rsid w:val="44BE38F1"/>
    <w:rsid w:val="482B4760"/>
    <w:rsid w:val="4900DF06"/>
    <w:rsid w:val="4C591155"/>
    <w:rsid w:val="4DAE3BEA"/>
    <w:rsid w:val="55E1DAF8"/>
    <w:rsid w:val="5F1FC618"/>
    <w:rsid w:val="6189DE50"/>
    <w:rsid w:val="6458FEA4"/>
    <w:rsid w:val="6A466DB9"/>
    <w:rsid w:val="6BBFDB75"/>
    <w:rsid w:val="7028D1FB"/>
    <w:rsid w:val="71877135"/>
    <w:rsid w:val="7C217EF6"/>
    <w:rsid w:val="7E7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PieddepageCar">
    <w:name w:val="Pied de page Car"/>
    <w:basedOn w:val="Policepardfaut"/>
    <w:link w:val="Pieddepage"/>
    <w:rsid w:val="00636FC6"/>
    <w:rPr>
      <w:lang w:val="en-US" w:eastAsia="ja-JP"/>
    </w:rPr>
  </w:style>
  <w:style w:type="character" w:styleId="Numrodepage">
    <w:name w:val="page number"/>
    <w:basedOn w:val="Policepardfaut"/>
    <w:unhideWhenUsed/>
    <w:rsid w:val="00636FC6"/>
  </w:style>
  <w:style w:type="character" w:styleId="Lienhypertexte">
    <w:name w:val="Hyperlink"/>
    <w:basedOn w:val="Policepardfaut"/>
    <w:uiPriority w:val="99"/>
    <w:unhideWhenUsed/>
    <w:rsid w:val="00636F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6FC6"/>
  </w:style>
  <w:style w:type="paragraph" w:styleId="Textedebulles">
    <w:name w:val="Balloon Text"/>
    <w:basedOn w:val="Normal"/>
    <w:link w:val="TextedebullesC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458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8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8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8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84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9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c0db13f1f2fe49fd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nathalie.giloy@shom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38A91C65D8148A17847E70EB0AE49" ma:contentTypeVersion="10" ma:contentTypeDescription="Crée un document." ma:contentTypeScope="" ma:versionID="91b3b175e6ec047b96483536f8a8b047">
  <xsd:schema xmlns:xsd="http://www.w3.org/2001/XMLSchema" xmlns:xs="http://www.w3.org/2001/XMLSchema" xmlns:p="http://schemas.microsoft.com/office/2006/metadata/properties" xmlns:ns2="52dc33ee-7e8d-4d03-88a9-1324b4cf226b" targetNamespace="http://schemas.microsoft.com/office/2006/metadata/properties" ma:root="true" ma:fieldsID="eeec3f6986e64dbb9fa6aa64b7ead56a" ns2:_="">
    <xsd:import namespace="52dc33ee-7e8d-4d03-88a9-1324b4cf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33ee-7e8d-4d03-88a9-1324b4cf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3EF9-9E71-45E2-9686-2C0BB316B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9E9E9-0E81-4EE6-90B3-31ED4C883A56}">
  <ds:schemaRefs>
    <ds:schemaRef ds:uri="http://purl.org/dc/elements/1.1/"/>
    <ds:schemaRef ds:uri="http://schemas.microsoft.com/office/infopath/2007/PartnerControls"/>
    <ds:schemaRef ds:uri="http://purl.org/dc/terms/"/>
    <ds:schemaRef ds:uri="52dc33ee-7e8d-4d03-88a9-1324b4cf226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096C0E-EFF1-4AB0-901B-07A438AAC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33ee-7e8d-4d03-88a9-1324b4cf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Nathalie Giloy, DOPS/STM/MAC</cp:lastModifiedBy>
  <cp:revision>3</cp:revision>
  <dcterms:created xsi:type="dcterms:W3CDTF">2021-12-17T07:50:00Z</dcterms:created>
  <dcterms:modified xsi:type="dcterms:W3CDTF">2021-12-17T09:13:00Z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0x010100C6638A91C65D8148A17847E70EB0AE49</vt:lpwstr>
  </property>
</Properties>
</file>